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ONC-FRM-003: ექსტრავაზაციის მართვის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51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ONC-FRM-003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51.4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აღრიცხავს ყოველ ეჭვმიტანილ ექსტრავაზაციას, დაფიქსირებულ ადრეულ ნიშნებს და მართვის ეტაპებსა და დროს.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ჩაწერეთ პრეპარატი, ადგილი და დაფიქსირებული ადრეული ნიშნები.</w:t>
      </w:r>
    </w:p>
    <w:p>
      <w:pPr>
        <w:numPr>
          <w:ilvl w:val="0"/>
          <w:numId w:val="1001"/>
        </w:numPr>
        <w:pStyle w:val="Compact"/>
      </w:pPr>
      <w:r>
        <w:t xml:space="preserve">ჩაწერეთ, როდის შეწყდა ინფუზია და განხორციელებული ყოველი მართვის ეტაპი.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შემთხვევის გადასინჯვა.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პრეპარატი და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დაფიქსირებული ადრეული ნიშნები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ინფუზიის შეწყვეტა (დრო)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მართვის ეტაპები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Oncology &amp; Infusion Therapy Safety Endorsement</w:t>
        </w:r>
      </w:hyperlink>
      <w:r>
        <w:t xml:space="preserve"> </w:t>
      </w:r>
      <w:r>
        <w:t xml:space="preserve">(AMB-11)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1/" TargetMode="External" /><Relationship Type="http://schemas.openxmlformats.org/officeDocument/2006/relationships/hyperlink" Id="rId23" Target="/ka/standards/standard-51/#c51-4" TargetMode="External" /><Relationship Type="http://schemas.openxmlformats.org/officeDocument/2006/relationships/hyperlink" Id="rId29" Target="https://academy.gmj.ge/courses/asf-amb-1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1/" TargetMode="External" /><Relationship Type="http://schemas.openxmlformats.org/officeDocument/2006/relationships/hyperlink" Id="rId23" Target="/ka/standards/standard-51/#c51-4" TargetMode="External" /><Relationship Type="http://schemas.openxmlformats.org/officeDocument/2006/relationships/hyperlink" Id="rId29" Target="https://academy.gmj.ge/courses/asf-amb-1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ONC-FRM-003: ექსტრავაზაციის მართვის ჩანაწერი</dc:title>
  <dc:creator/>
  <cp:keywords/>
  <dcterms:created xsi:type="dcterms:W3CDTF">2026-11-07T00:58:13Z</dcterms:created>
  <dcterms:modified xsi:type="dcterms:W3CDTF">2026-11-07T00:58:13Z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