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15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OPT-SOP-003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15.6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ჩივილი პროდუქტზე ან მომსახურებაზე აღირიცხება OPT-FRM-005-ზე.</w:t>
      </w:r>
    </w:p>
    <w:p>
      <w:pPr>
        <w:numPr>
          <w:ilvl w:val="0"/>
          <w:numId w:val="1001"/>
        </w:numPr>
        <w:pStyle w:val="Compact"/>
      </w:pPr>
      <w:r>
        <w:t xml:space="preserve">დაბრუნებები და შეცვლები მუშავდება ჩივილების წესით (INC-POL-002).</w:t>
      </w:r>
    </w:p>
    <w:p>
      <w:pPr>
        <w:numPr>
          <w:ilvl w:val="0"/>
          <w:numId w:val="1001"/>
        </w:numPr>
        <w:pStyle w:val="Compact"/>
      </w:pPr>
      <w:r>
        <w:t xml:space="preserve">ყოველი ჩივილი განიხილება და ქმედება აღირიცხება.</w:t>
      </w:r>
    </w:p>
    <w:p>
      <w:pPr>
        <w:numPr>
          <w:ilvl w:val="0"/>
          <w:numId w:val="1001"/>
        </w:numPr>
        <w:pStyle w:val="Compact"/>
      </w:pPr>
      <w:r>
        <w:t xml:space="preserve">პაციენტს ეცნობება შედეგი.</w:t>
      </w:r>
    </w:p>
    <w:p>
      <w:pPr>
        <w:numPr>
          <w:ilvl w:val="0"/>
          <w:numId w:val="1001"/>
        </w:numPr>
        <w:pStyle w:val="Compact"/>
      </w:pPr>
      <w:r>
        <w:t xml:space="preserve">შეაჩერეთ და დაუყოვნებლივ მიმართეთ დახმარებას, თუ: პროდუქტზე ჩივილი არ არის აღრიცხული ან არ არის პასუხგაცემული.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ვისწავლოთ პროდუქტებისა და მომსახურების შესახებ ჩივილებიდან და ვიმოქმედოთ მათ მიხედვით (15.6).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პროდუქტის ან მომსახურების შესახებ ჩივილი ინფორმაციაა იმის შესახებ, რა არასწორად მიდის. მისი აღრიცხვა და მასზე რეაგირება, და პაციენტისთვის იმის თქმა, რაც გაკეთდა, მომსახურებას აუმჯობესებს.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პრაქტიკის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ჩივილების არხს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წამყვანი ოპტომეტრისტი ან აუდიოლოგი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განიხილავს პროდუქტის ჩივილებს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კლინიკოსი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აღრიცხვა.</w:t>
      </w:r>
    </w:p>
    <w:p>
      <w:pPr>
        <w:numPr>
          <w:ilvl w:val="0"/>
          <w:numId w:val="1004"/>
        </w:numPr>
        <w:pStyle w:val="Compact"/>
      </w:pPr>
      <w:r>
        <w:t xml:space="preserve">აღრიცხეთ ყოველი ჩივილი OPT-FRM-005-ზე პროდუქტთან ერთად.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ყოველი ჩივილი.</w:t>
      </w:r>
    </w:p>
    <w:p>
      <w:pPr>
        <w:pStyle w:val="BodyText"/>
      </w:pPr>
      <w:r>
        <w:t xml:space="preserve">ნაბიჯი 2. განხილვა და ქმედება.</w:t>
      </w:r>
    </w:p>
    <w:p>
      <w:pPr>
        <w:numPr>
          <w:ilvl w:val="0"/>
          <w:numId w:val="1005"/>
        </w:numPr>
        <w:pStyle w:val="Compact"/>
      </w:pPr>
      <w:r>
        <w:t xml:space="preserve">განიხილეთ ჩივილი და იმოქმედეთ: დაბრუნება, შეცვლა ან ცვლილება.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განხილულია, გატარებულია ქმედება.</w:t>
      </w:r>
    </w:p>
    <w:p>
      <w:pPr>
        <w:pStyle w:val="BodyText"/>
      </w:pPr>
      <w:r>
        <w:t xml:space="preserve">ნაბიჯი 3. პაციენტისთვის ინფორმირება.</w:t>
      </w:r>
    </w:p>
    <w:p>
      <w:pPr>
        <w:numPr>
          <w:ilvl w:val="0"/>
          <w:numId w:val="1006"/>
        </w:numPr>
        <w:pStyle w:val="Compact"/>
      </w:pPr>
      <w:r>
        <w:t xml:space="preserve">აცნობეთ პაციენტს შედეგი.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შედეგი ეცნობა.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ჩივილები აღრიცხული და პასუხგაცემული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პრაქტიკის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OPT-FRM-005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პროდუქტზე ჩივილის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INC-POL-002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ჩივილები და უკუკავშირი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ASF ექსპერტთა კომიტეტის კონსენსუსსა და WHO-ს მსოფლიო ანგარიშზე სმენის შესახებ (2021).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ჩივილების დამუშავება და პაციენტის უკუკავშირი</w:t>
        </w:r>
      </w:hyperlink>
      <w:r>
        <w:t xml:space="preserve"> </w:t>
      </w:r>
      <w:r>
        <w:t xml:space="preserve">(T-12)</w:t>
      </w:r>
    </w:p>
    <w:bookmarkEnd w:id="45"/>
    <w:bookmarkStart w:id="48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6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7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inc-pol-002/" TargetMode="External" /><Relationship Type="http://schemas.openxmlformats.org/officeDocument/2006/relationships/hyperlink" Id="rId39" Target="/ka/documents/opt-frm-005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5/" TargetMode="External" /><Relationship Type="http://schemas.openxmlformats.org/officeDocument/2006/relationships/hyperlink" Id="rId23" Target="/ka/standards/standard-15/#c15-6" TargetMode="External" /><Relationship Type="http://schemas.openxmlformats.org/officeDocument/2006/relationships/hyperlink" Id="rId44" Target="https://academy.gmj.ge/courses/asf-t-12-en/" TargetMode="External" /><Relationship Type="http://schemas.openxmlformats.org/officeDocument/2006/relationships/hyperlink" Id="rId47" Target="https://france-asf.fr/wp-content/uploads/2026/10/opt-sop-003-form-1.docx" TargetMode="External" /><Relationship Type="http://schemas.openxmlformats.org/officeDocument/2006/relationships/hyperlink" Id="rId46" Target="https://france-asf.fr/wp-content/uploads/2026/10/opt-sop-003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inc-pol-002/" TargetMode="External" /><Relationship Type="http://schemas.openxmlformats.org/officeDocument/2006/relationships/hyperlink" Id="rId39" Target="/ka/documents/opt-frm-005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5/" TargetMode="External" /><Relationship Type="http://schemas.openxmlformats.org/officeDocument/2006/relationships/hyperlink" Id="rId23" Target="/ka/standards/standard-15/#c15-6" TargetMode="External" /><Relationship Type="http://schemas.openxmlformats.org/officeDocument/2006/relationships/hyperlink" Id="rId44" Target="https://academy.gmj.ge/courses/asf-t-12-en/" TargetMode="External" /><Relationship Type="http://schemas.openxmlformats.org/officeDocument/2006/relationships/hyperlink" Id="rId47" Target="https://france-asf.fr/wp-content/uploads/2026/10/opt-sop-003-form-1.docx" TargetMode="External" /><Relationship Type="http://schemas.openxmlformats.org/officeDocument/2006/relationships/hyperlink" Id="rId46" Target="https://france-asf.fr/wp-content/uploads/2026/10/opt-sop-003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2026-11-07T01:35:07Z</dcterms:created>
  <dcterms:modified xsi:type="dcterms:W3CDTF">2026-11-07T01:35:07Z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