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svgz" ContentType="image/svg+xml;base64"/>
  <Override PartName="/word/media/rId52.svgz" ContentType="image/svg+xml;base64"/>
  <Override PartName="/word/media/rId43.svgz" ContentType="image/svg+xml;base64"/>
  <Override PartName="/word/media/rId40.svgz" ContentType="image/svg+xml;base64"/>
  <Override PartName="/word/media/rId46.svgz" ContentType="image/svg+xml;base64"/>
  <Override PartName="/word/media/rId37.svgz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პაციენტის განათლების კალენდარი</w:t>
      </w:r>
    </w:p>
    <w:p>
      <w:pPr>
        <w:pStyle w:val="FirstParagraph"/>
      </w:pPr>
      <w:r>
        <w:rPr>
          <w:bCs/>
          <w:b/>
        </w:rPr>
        <w:t xml:space="preserve">მმართველობის დოკუმენტი — 2026 წლის გამოცემა.</w:t>
      </w:r>
      <w:r>
        <w:t xml:space="preserve"> </w:t>
      </w:r>
      <w:r>
        <w:t xml:space="preserve">ამ დოკუმენტში მმართველობის, ეთიკისა და ხარისხის სისტემის დებულებები ძალაში რჩება. იქ, სადაც ნახსენებია „შემფასებლები“ ან „შეფასებები“, მიმდინარე აკრედიტაციის მოდელი იყენებს</w:t>
      </w:r>
      <w:r>
        <w:t xml:space="preserve"> </w:t>
      </w:r>
      <w:hyperlink r:id="rId20">
        <w:r>
          <w:rPr>
            <w:rStyle w:val="Hyperlink"/>
          </w:rPr>
          <w:t xml:space="preserve">ოთხი დასახელებული როლი</w:t>
        </w:r>
      </w:hyperlink>
      <w:r>
        <w:t xml:space="preserve"> </w:t>
      </w:r>
      <w:r>
        <w:t xml:space="preserve">(პასუხისმგებელი პირი, დირექტორი, კოორდინატორი, მონიტორი) და</w:t>
      </w:r>
      <w:r>
        <w:t xml:space="preserve"> </w:t>
      </w:r>
      <w:hyperlink r:id="rId21">
        <w:r>
          <w:rPr>
            <w:rStyle w:val="Hyperlink"/>
          </w:rPr>
          <w:t xml:space="preserve">კვარტალური ციკლი</w:t>
        </w:r>
      </w:hyperlink>
      <w:r>
        <w:t xml:space="preserve">. ტერმინოლოგიის შესაბამისი გადასინჯული გამოცემა მზადდება.</w:t>
      </w:r>
    </w:p>
    <w:p>
      <w:pPr>
        <w:pStyle w:val="BodyText"/>
      </w:pPr>
      <w:r>
        <w:t xml:space="preserve">პაციენტის ხმის ინსტრუმენტარიუმი</w:t>
      </w:r>
    </w:p>
    <w:bookmarkStart w:id="22" w:name="პაციენტის-განათლების-კალენდარი"/>
    <w:p>
      <w:pPr>
        <w:pStyle w:val="Heading1"/>
      </w:pPr>
      <w:r>
        <w:t xml:space="preserve">პაციენტის განათლების კალენდარი</w:t>
      </w:r>
    </w:p>
    <w:p>
      <w:pPr>
        <w:pStyle w:val="FirstParagraph"/>
      </w:pPr>
      <w:r>
        <w:t xml:space="preserve">თორმეტი ოცდაათწუთიანი შეხვედრა, თითო ყოველ კრებაზე, შერჩეული იმის მიხედვით, რაც თვის უკუკავშირი აჩვენებს, რომ პაციენტებს ყველაზე მეტად სჭირდებათ ცოდნა. მონახაზები, მასალები, ვინ წარმოადგენს</w:t>
      </w:r>
    </w:p>
    <w:p>
      <w:pPr>
        <w:pStyle w:val="BodyText"/>
      </w:pPr>
      <w:r>
        <w:t xml:space="preserve">ASF-PV-EDU-001-v1 · გამოქვეყნებულია · 2026 წლის 13 სექტემბერი · 10 გვერდი</w:t>
      </w:r>
    </w:p>
    <w:bookmarkEnd w:id="22"/>
    <w:p>
      <w:pPr>
        <w:pStyle w:val="BodyText"/>
      </w:pPr>
      <w:r>
        <w:t xml:space="preserve">ეს არის სრული ტექსტი</w:t>
      </w:r>
      <w:r>
        <w:t xml:space="preserve"> </w:t>
      </w:r>
      <w:r>
        <w:rPr>
          <w:bCs/>
          <w:b/>
        </w:rPr>
        <w:t xml:space="preserve">პაციენტის განათლების კალენდარი</w:t>
      </w:r>
      <w:r>
        <w:t xml:space="preserve"> </w:t>
      </w:r>
      <w:r>
        <w:t xml:space="preserve">(ASF-PV-EDU-001-v1). PDF არის კონტროლირებადი ვერსია; ეს გვერდი გამოქვეყნებულია წაკითხვის, ძიებისა და ციტირებისთვის. ნაწილია ASF</w:t>
      </w:r>
      <w:r>
        <w:t xml:space="preserve"> </w:t>
      </w:r>
      <w:hyperlink r:id="rId23">
        <w:r>
          <w:rPr>
            <w:rStyle w:val="Hyperlink"/>
          </w:rPr>
          <w:t xml:space="preserve">დოკუმენტების ბიბლიოთეკის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თავისუფლად გამოსაყენებელი.</w:t>
      </w:r>
      <w:r>
        <w:t xml:space="preserve"> </w:t>
      </w:r>
      <w:r>
        <w:t xml:space="preserve">ეს დოკუმენტი სრულად გამოაქვეყნა Accréditation Sans Frontières-მა და მისი ადაპტირება შეუძლია ნებისმიერ ორგანიზაციას, რომელიც პაციენტთა საბჭოს ქმნის თავის ქვეყანაში, მითითებით და ცვლილებების აღნიშვნით. ის შედის პაციენტის ხმის ინსტრუმენტარიუმში, რომელიც მთლიანად ხელმისაწვდომია france-asf.fr/patient-voice-ზე.</w:t>
      </w:r>
    </w:p>
    <w:bookmarkStart w:id="24" w:name="წინასიტყვაობა"/>
    <w:p>
      <w:pPr>
        <w:pStyle w:val="Heading4"/>
      </w:pPr>
      <w:r>
        <w:t xml:space="preserve">წინასიტყვაობა</w:t>
      </w:r>
    </w:p>
    <w:p>
      <w:pPr>
        <w:pStyle w:val="FirstParagraph"/>
      </w:pPr>
      <w:r>
        <w:t xml:space="preserve">1. თორმეტი შეხვედრა</w:t>
      </w:r>
    </w:p>
    <w:p>
      <w:pPr>
        <w:pStyle w:val="BodyText"/>
      </w:pPr>
      <w:r>
        <w:t xml:space="preserve">2. ვინ წარმოადგენს</w:t>
      </w:r>
    </w:p>
    <w:p>
      <w:pPr>
        <w:pStyle w:val="BodyText"/>
      </w:pPr>
      <w:r>
        <w:t xml:space="preserve">3. თვის თემის არჩევა</w:t>
      </w:r>
    </w:p>
    <w:p>
      <w:pPr>
        <w:pStyle w:val="BodyText"/>
      </w:pPr>
      <w:r>
        <w:t xml:space="preserve">4. შეხვედრის ჩაწერა</w:t>
      </w:r>
    </w:p>
    <w:p>
      <w:pPr>
        <w:pStyle w:val="BodyText"/>
      </w:pPr>
      <w:r>
        <w:t xml:space="preserve">დანართი A — შეხვედრის გეგმის შაბლონი</w:t>
      </w:r>
    </w:p>
    <w:p>
      <w:pPr>
        <w:pStyle w:val="BodyText"/>
      </w:pPr>
      <w:r>
        <w:t xml:space="preserve">დანართი B — ხუთკითხვიანი გაწერის ბარათი (მასალა მე-2 შეხვედრისთვის)</w:t>
      </w:r>
    </w:p>
    <w:p>
      <w:pPr>
        <w:pStyle w:val="BodyText"/>
      </w:pPr>
      <w:r>
        <w:t xml:space="preserve">წყაროები</w:t>
      </w:r>
    </w:p>
    <w:p>
      <w:pPr>
        <w:pStyle w:val="BodyText"/>
      </w:pPr>
      <w:r>
        <w:t xml:space="preserve">საძიებელი</w:t>
      </w:r>
    </w:p>
    <w:bookmarkEnd w:id="24"/>
    <w:bookmarkStart w:id="25" w:name="s1"/>
    <w:p>
      <w:pPr>
        <w:pStyle w:val="Heading2"/>
      </w:pPr>
      <w:r>
        <w:t xml:space="preserve">წინასიტყვაობა</w:t>
      </w:r>
    </w:p>
    <w:p>
      <w:pPr>
        <w:pStyle w:val="FirstParagraph"/>
      </w:pPr>
      <w:r>
        <w:t xml:space="preserve">ყოველი საბჭოს შეხვედრა ოცდაათწუთიანი განათლებით სრულდება. თემა წინასწარ არ არის დადგენილი: სამდივნო მას თვის უკუკავშირის მიხედვით ირჩევს. თუ თემა გაწერაა, შეხვედრა გაწერაზეა. თუ ცხრამ ადამიანმა იკითხა თავის ანგარიშ-ფაქტურაზე, შეხვედრა ანგარიშ-ფაქტურებზეა. სწორედ ეს ხდის შეხვედრას ღირებულს და სწორედ ეს აქცევს უკუკავშირის ორგანოს სასწავლო ორგანოდ.</w:t>
      </w:r>
    </w:p>
    <w:p>
      <w:pPr>
        <w:pStyle w:val="BodyText"/>
      </w:pPr>
      <w:r>
        <w:t xml:space="preserve">ეს კალენდარი იძლევა თორმეტ მზა შეხვედრას, თითო მონახაზით, მასალებით, წარმომდგენლებითა და სიგნალით, რომელიც ამ თვეს სწორ თვედ აქცევს. საბჭო ერთი წლის განმავლობაში შეიძლება ამ დოკუმენტით იმუშაოს, შემდეგ კი ახალი სტუმრებით გაიმეოროს.</w:t>
      </w:r>
    </w:p>
    <w:p>
      <w:pPr>
        <w:pStyle w:val="BodyText"/>
      </w:pPr>
      <w:r>
        <w:rPr>
          <w:bCs/>
          <w:b/>
        </w:rPr>
        <w:t xml:space="preserve">ფორმატი ყოველი შეხვედრისთვის.</w:t>
      </w:r>
      <w:r>
        <w:t xml:space="preserve"> </w:t>
      </w:r>
      <w:r>
        <w:t xml:space="preserve">ოცდაათი წუთი: ათი განმარტებისთვის, თხუთმეტი კითხვებისა და ვარჯიშისთვის, ხუთი „ერთი რამ, რასაც სხვაგვარად გავაკეთებ“-თვის. ერთი მასალა, ერთი გვერდი. წევრებს შეუძლიათ სტუმარი მოიყვანონ. მოლოდინის სიის მონაწილეები ყოველთვის იწვევიან.</w:t>
      </w:r>
    </w:p>
    <w:bookmarkEnd w:id="25"/>
    <w:bookmarkStart w:id="26" w:name="s2"/>
    <w:p>
      <w:pPr>
        <w:pStyle w:val="Heading2"/>
      </w:pPr>
      <w:r>
        <w:t xml:space="preserve">1. თორმეტი შეხვედრა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თემა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მონახაზი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როდის გამოიყენება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თქვენი უფლებები, როგორც პაციენტის — შვიდი უფლება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წვდომა · უსაფრთხოება · პატივისცემა · partnership · ინფორმაცია · კონფიდენციალურობა · უკუკავშირი. რას ნიშნავს თითო პალატაში, პაციენტის ქარტიით როგორც მასალით.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ნებისმიერი თვე; ყოველთვის ახალი საბჭოს პირველი შეხვედრა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შეკითხვები, რომლებიც უნდა დასვათ გაწერამდე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ხუთი შეკითხვა: რა არის ჩემი დიაგნოზი, რომელი წამლები და რატომ, რაზე უნდა გავამახვილო ყურადღება, ვის დავუკავშირდე, როდის არის ჩემი შემდგომი კონტროლი. გამოძახებითი (teach-back) პრაქტიკა.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როცა თემაა გაწერა ან შემდგომი მოვლა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ინფორმირებული თანხმობა — საუბარი და არა ხელმოწერა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უნდა შეიცავდეს თანხმობა; უფლება ხელახლა კითხვისა; უფლება უარის თქმისა; თანხმობა ბავშვებისა და იმ პირთათვის, რომლებიც ვერ წყვეტენ.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როცა თემაა თანხმობა ან კომუნიკაცია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თქვენი წამლები — სახელები, დოზები, დრო, ურთიერთქმედება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შეხვედრა „წამოიღეთ თქვენი ჩანთა“: ყოველი მონაწილე მოაქვს თავისი წამლები; ფარმაცევტი განმარტავს. წამლების სიის ბარათი.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როცა თემაა მედიკამენტები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ხელების ჰიგიენა და ინფექცია — რისი მოთხოვნა შეგიძლიათ პერსონალისგან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„ხელები დაიბანეთ?“ სამართლიანი კითხვაა. როგორია სუფთა; რა ვქნათ ვიზიტორთან, რომელსაც გაციება აქვს.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ნებისმიერი თვე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დაცემები — სახლში და საავადმყოფოში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რატომ ცვივიან პაციენტები; საწოლი, აბაზანა, ფეხსაცმელი; რას აკეთებს საავადმყოფო და რა შეუძლია ოჯახს.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როცა თემაა უსაფრთხოება ან გარემო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თქვენი ანგარიშ-ფაქტურის წაკითხვა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რას ნიშნავს ხაზები, რას ფარავს სახელმწიფო პროგრამა, რა უნდა ჰკითხოთ გადახდამდე, სად მიმართოთ ანგარიშსწორების დავას.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როცა თემაა ფინანსები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როგორ წამოჭრათ შეშფოთება ისე, რომ მიაღწიოს მიზანს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ფაქტები, თარიღები, განყოფილებების სახელები და არა ადამიანების, რა გსურთ რომ მოხდეს. ვარჯიში QR ფორმით. რატომ არის დაშვებული ანონიმურობა და როდის ზღუდავს იმას, რაც შეიძლება გაკეთდეს.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ახალი საბჭოს მეორე შეხვედრა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ცხოვრება ხანგრძლივი დაავადებით — დიაბეტი, გული, ასთმა, ფარისებრი ჯირკვალი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ერთი დაავადება შეხვედრაზე, კლინიცისტთან ერთად: ორი ყველაზე მნიშვნელოვანი საკითხი და ელექტრონული პაციენტის პლატფორმა განახლებებისთვის.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წევრთა მოთხოვნით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გადაუდებელი სიტუაციები სახლში — როდის დარეკოთ, რა თქვათ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ინსულტისა და გულის შეტევის ნიშნები; რა უთხრათ დისპეჩერს; რა უნდა იყოს მზად კართან.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ნებისმიერი თვე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ფსიქიკური ჯანმრთელობა და ოჯახი — დახმარების 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დისტრესის ამოცნობა; ვის მივმართოთ; რას სთავაზობს საავადმყოფო; კონფიდენციალურობა.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როცა ჩნდება ფსიქოსოციალური თემები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რას ნიშნავს აკრედიტაცია თქვენთვის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რას იძლევა და რას არ იძლევა ASF ბეჭედი, როგორ შემოწმდეს ის და როგორ ხდება საბჭოს საქმიანობა მტკიცებულებად.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წელიწადში ერთხელ</w:t>
            </w:r>
          </w:p>
        </w:tc>
      </w:tr>
    </w:tbl>
    <w:bookmarkEnd w:id="26"/>
    <w:bookmarkStart w:id="27" w:name="s3"/>
    <w:p>
      <w:pPr>
        <w:pStyle w:val="Heading2"/>
      </w:pPr>
      <w:r>
        <w:t xml:space="preserve">2. ვინ წარმოადგენს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შეხვედრა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წარმომდგენი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მასალები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1, 8, 12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სამდივნო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ქარტია; QR ფორმა; „როგორ შევამოწმოთ“ ბარათი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2, 3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სამდივნო პალატის მედდასთან ერთად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ხუთკითხვიანი გაწერის ბარათი; თანხმობის ბროშურა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წამლების სიის ბარათი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5, 6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ინფექციის კონტროლის მედდა; ფიზიოთერაპევტი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ხელების ჰიგიენის პოსტერი; დაცემების ჩამონათვალი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ფინანსური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ანგარიშ-ფაქტურის ნიმუში, განმარტებული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დაავადების მიხედვით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დაავადების ფურცელი; პლატფორმაზე რეგისტრაცია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გადაუდებელი დახმარების ექიმი ან პარამედიკი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მაცივრის ბარათი: ნიშნები და რა უნდა თქვათ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ფსიქოლოგი ან სოციალური მუშაკი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ბარათი, სად მიმართოთ</w:t>
            </w:r>
          </w:p>
        </w:tc>
      </w:tr>
    </w:tbl>
    <w:bookmarkEnd w:id="27"/>
    <w:bookmarkStart w:id="28" w:name="s4"/>
    <w:p>
      <w:pPr>
        <w:pStyle w:val="Heading2"/>
      </w:pPr>
      <w:r>
        <w:t xml:space="preserve">3. თვის თემის არჩევა</w:t>
      </w:r>
    </w:p>
    <w:p>
      <w:pPr>
        <w:pStyle w:val="FirstParagraph"/>
      </w:pPr>
      <w:r>
        <w:t xml:space="preserve">შეხედეთ თემების ცხრილს თვიურ ანგარიშში. უმსხვილესი თემა, ან ყველაზე სწრაფად მზარდი, არის ნაგულისხმევი.</w:t>
      </w:r>
    </w:p>
    <w:p>
      <w:pPr>
        <w:pStyle w:val="BodyText"/>
      </w:pPr>
      <w:r>
        <w:t xml:space="preserve">თუ მოხდა მესამე სიმძიმის შემთხვევა, მასთან დაკავშირებულ თემას აქვს უპირატესობა (მედიკამენტები → მე-4 შეხვედრა; დაცემები → მე-6 შეხვედრა).</w:t>
      </w:r>
    </w:p>
    <w:p>
      <w:pPr>
        <w:pStyle w:val="BodyText"/>
      </w:pPr>
      <w:r>
        <w:t xml:space="preserve">ახალი საბჭო თემების მიუხედავად, ჯერ მართავს 1-ლ და მე-8 შეხვედრებს.</w:t>
      </w:r>
    </w:p>
    <w:p>
      <w:pPr>
        <w:pStyle w:val="BodyText"/>
      </w:pPr>
      <w:r>
        <w:t xml:space="preserve">მე-12 შეხვედრა იმართება წელიწადში ერთხელ, იმ თვეში, როცა საბჭოს ჩანაწერი შეჯამდება.</w:t>
      </w:r>
    </w:p>
    <w:p>
      <w:pPr>
        <w:pStyle w:val="BodyText"/>
      </w:pPr>
      <w:r>
        <w:t xml:space="preserve">წევრებს შეუძლიათ თემის მოთხოვნა; მოთხოვნა მომდევნო თვეში ნაგულისხმევ თემას სჯობს.</w:t>
      </w:r>
    </w:p>
    <w:bookmarkEnd w:id="28"/>
    <w:bookmarkStart w:id="29" w:name="s5"/>
    <w:p>
      <w:pPr>
        <w:pStyle w:val="Heading2"/>
      </w:pPr>
      <w:r>
        <w:t xml:space="preserve">4. შეხვედრის ჩაწერა</w:t>
      </w:r>
    </w:p>
    <w:p>
      <w:pPr>
        <w:pStyle w:val="FirstParagraph"/>
      </w:pPr>
      <w:r>
        <w:t xml:space="preserve">ერთი პარაგრაფი საბჭოს ჩანაწერში: თემა, წარმომდგენელი, დასწრება, სამი ყველაზე სასარგებლო დასმული კითხვა და „ერთი რამ, რასაც სხვაგვარად გავაკეთებ“ პასუხები ჯამურად. მასალები გამოქვეყნდება WhatsApp ჯგუფში და დაწესებულების ASF პროფილზე.</w:t>
      </w:r>
    </w:p>
    <w:bookmarkEnd w:id="29"/>
    <w:bookmarkStart w:id="30" w:name="s6"/>
    <w:p>
      <w:pPr>
        <w:pStyle w:val="Heading2"/>
      </w:pPr>
      <w:r>
        <w:t xml:space="preserve">დანართი A — შეხვედრის გეგმის შაბლონი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შეხვედრის ნომერი და თემა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ამ თვის სიგნალი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წარმომდგენი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მასალა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0–10 წთ — განმარტება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10–25 წთ — კითხვები და ვარჯიში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25–30 წთ — ერთი რამ, რასაც სხვაგვარად გავაკეთებ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დამსწრეები (წევრები / სტუმრები / მოლოდინის სია)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სამი საუკეთესო კითხვა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ჩაწერა განახორციელა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bookmarkEnd w:id="30"/>
    <w:bookmarkStart w:id="31" w:name="s7"/>
    <w:p>
      <w:pPr>
        <w:pStyle w:val="Heading2"/>
      </w:pPr>
      <w:r>
        <w:t xml:space="preserve">დანართი B — ხუთკითხვიანი გაწერის ბარათი (მასალა მე-2 შეხვედრისთვის)</w:t>
      </w:r>
    </w:p>
    <w:p>
      <w:pPr>
        <w:pStyle w:val="FirstParagraph"/>
      </w:pPr>
      <w:r>
        <w:t xml:space="preserve">რა არის ჩემი დიაგნოზი, იმ სიტყვებით, რომლებსაც ჩემს ოჯახს გავუმეორებ?</w:t>
      </w:r>
    </w:p>
    <w:p>
      <w:pPr>
        <w:pStyle w:val="BodyText"/>
      </w:pPr>
      <w:r>
        <w:t xml:space="preserve">რომელ წამლებს ვიღებ, რატომ, და შეიცვალა რამე?</w:t>
      </w:r>
    </w:p>
    <w:p>
      <w:pPr>
        <w:pStyle w:val="BodyText"/>
      </w:pPr>
      <w:r>
        <w:t xml:space="preserve">რაზე უნდა გავამახვილო ყურადღება, და რა მიუთითებს იმაზე, რომ უნდა დავბრუნდე?</w:t>
      </w:r>
    </w:p>
    <w:p>
      <w:pPr>
        <w:pStyle w:val="BodyText"/>
      </w:pPr>
      <w:r>
        <w:t xml:space="preserve">ვის დავურეკო, თუ შეშფოთებული ვარ — სახელი და ნომერი?</w:t>
      </w:r>
    </w:p>
    <w:p>
      <w:pPr>
        <w:pStyle w:val="BodyText"/>
      </w:pPr>
      <w:r>
        <w:t xml:space="preserve">როდის არის ჩემი შემდგომი კონტროლი, სად და ვისთან?</w:t>
      </w:r>
    </w:p>
    <w:p>
      <w:pPr>
        <w:pStyle w:val="BodyText"/>
      </w:pPr>
      <w:r>
        <w:rPr>
          <w:iCs/>
          <w:i/>
        </w:rPr>
        <w:t xml:space="preserve">სთხოვეთ მედდას, მოუსმინოს, სანამ პასუხებს გაიმეორებთ. ამას გამოძახებითი (teach-back) ჰქვია, და ეს თქვენი უფლებაა.</w:t>
      </w:r>
    </w:p>
    <w:bookmarkEnd w:id="31"/>
    <w:bookmarkStart w:id="32" w:name="s8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1"/>
        </w:numPr>
        <w:pStyle w:val="Compact"/>
      </w:pPr>
      <w:r>
        <w:t xml:space="preserve">Australian Commission on Safety and Quality in Health Care. Australian Charter of Healthcare Rights, 2nd ed. 2019.</w:t>
      </w:r>
    </w:p>
    <w:p>
      <w:pPr>
        <w:numPr>
          <w:ilvl w:val="0"/>
          <w:numId w:val="1001"/>
        </w:numPr>
        <w:pStyle w:val="Compact"/>
      </w:pPr>
      <w:r>
        <w:t xml:space="preserve">Agency for Healthcare Research and Quality. Health Literacy Universal Precautions Toolkit — Teach-Back Method. AHRQ; 2020.</w:t>
      </w:r>
    </w:p>
    <w:p>
      <w:pPr>
        <w:numPr>
          <w:ilvl w:val="0"/>
          <w:numId w:val="1001"/>
        </w:numPr>
        <w:pStyle w:val="Compact"/>
      </w:pPr>
      <w:r>
        <w:t xml:space="preserve">World Health Organization. Medication Without Harm — 5 Moments for Medication Safety. Geneva: WHO; 2019.</w:t>
      </w:r>
    </w:p>
    <w:p>
      <w:pPr>
        <w:numPr>
          <w:ilvl w:val="0"/>
          <w:numId w:val="1001"/>
        </w:numPr>
        <w:pStyle w:val="Compact"/>
      </w:pPr>
      <w:r>
        <w:t xml:space="preserve">Accréditation Sans Frontières. Understanding Your Accreditation — Patient Guide, ASF-PATIENT-GUIDE-001-v2. Paris: ASF; 2026.</w:t>
      </w:r>
    </w:p>
    <w:bookmarkEnd w:id="32"/>
    <w:bookmarkStart w:id="33" w:name="s9"/>
    <w:p>
      <w:pPr>
        <w:pStyle w:val="Heading2"/>
      </w:pPr>
      <w:r>
        <w:t xml:space="preserve">საძიებელი</w:t>
      </w:r>
    </w:p>
    <w:p>
      <w:pPr>
        <w:pStyle w:val="FirstParagraph"/>
      </w:pPr>
      <w:r>
        <w:rPr>
          <w:bCs/>
          <w:b/>
        </w:rPr>
        <w:t xml:space="preserve">თემის არჩევა,</w:t>
      </w:r>
      <w:r>
        <w:t xml:space="preserve"> </w:t>
      </w:r>
      <w:r>
        <w:t xml:space="preserve">3</w:t>
      </w:r>
    </w:p>
    <w:p>
      <w:pPr>
        <w:pStyle w:val="BodyText"/>
      </w:pPr>
      <w:r>
        <w:rPr>
          <w:bCs/>
          <w:b/>
        </w:rPr>
        <w:t xml:space="preserve">გაწერის ბარათი,</w:t>
      </w:r>
      <w:r>
        <w:t xml:space="preserve"> </w:t>
      </w:r>
      <w:r>
        <w:t xml:space="preserve">დანართი B</w:t>
      </w:r>
    </w:p>
    <w:p>
      <w:pPr>
        <w:pStyle w:val="BodyText"/>
      </w:pPr>
      <w:r>
        <w:rPr>
          <w:bCs/>
          <w:b/>
        </w:rPr>
        <w:t xml:space="preserve">ფორმატი,</w:t>
      </w:r>
      <w:r>
        <w:t xml:space="preserve"> </w:t>
      </w:r>
      <w:r>
        <w:t xml:space="preserve">წინასიტყვაობა</w:t>
      </w:r>
    </w:p>
    <w:p>
      <w:pPr>
        <w:pStyle w:val="BodyText"/>
      </w:pPr>
      <w:r>
        <w:rPr>
          <w:bCs/>
          <w:b/>
        </w:rPr>
        <w:t xml:space="preserve">წარმომდგენლები,</w:t>
      </w:r>
      <w:r>
        <w:t xml:space="preserve"> </w:t>
      </w:r>
      <w:r>
        <w:t xml:space="preserve">2</w:t>
      </w:r>
    </w:p>
    <w:p>
      <w:pPr>
        <w:pStyle w:val="BodyText"/>
      </w:pPr>
      <w:r>
        <w:rPr>
          <w:bCs/>
          <w:b/>
        </w:rPr>
        <w:t xml:space="preserve">შეხვედრის გეგმა,</w:t>
      </w:r>
      <w:r>
        <w:t xml:space="preserve"> </w:t>
      </w:r>
      <w:r>
        <w:t xml:space="preserve">დანართი A</w:t>
      </w:r>
    </w:p>
    <w:p>
      <w:pPr>
        <w:pStyle w:val="BodyText"/>
      </w:pPr>
      <w:r>
        <w:rPr>
          <w:bCs/>
          <w:b/>
        </w:rPr>
        <w:t xml:space="preserve">თორმეტი შეხვედრა,</w:t>
      </w:r>
      <w:r>
        <w:t xml:space="preserve"> </w:t>
      </w:r>
      <w:r>
        <w:t xml:space="preserve">1</w:t>
      </w:r>
    </w:p>
    <w:bookmarkEnd w:id="33"/>
    <w:p>
      <w:pPr>
        <w:pStyle w:val="BodyText"/>
      </w:pPr>
      <w:r>
        <w:t xml:space="preserve">დოკუმენტის კონტროლი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დოკუმენტის 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ხმა — პაციენტის განათლების კალენდარი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ნომერი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ASF-PV-EDU-001-v1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ვერსია / გამოცემა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გამოქვეყნებულია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გამოქვეყნების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 წლის 13 სექტემბერი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გამოქვეყნების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პარიზი, საფრანგეთი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გამომცემი ორგანო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საერთაშორისო სტანდარტების საბჭო, Accréditation Sans Frontières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ორიგინალის ენა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ინგლისური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ამოქმედების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 წლის 13 სექტემბერი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შემდეგი დაგეგმილი გადახედვა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2028 წლის 13 სექტემბერი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არცერთს — პირველი გამოცემა</w:t>
            </w:r>
          </w:p>
        </w:tc>
      </w:tr>
    </w:tbl>
    <w:p>
      <w:pPr>
        <w:pStyle w:val="BodyText"/>
      </w:pPr>
      <w:r>
        <w:t xml:space="preserve">ამ გვერდზე</w:t>
      </w:r>
    </w:p>
    <w:p>
      <w:pPr>
        <w:pStyle w:val="BodyText"/>
      </w:pPr>
      <w:hyperlink w:anchor="s1">
        <w:r>
          <w:rPr>
            <w:rStyle w:val="Hyperlink"/>
          </w:rPr>
          <w:t xml:space="preserve">წინასიტყვაობა</w:t>
        </w:r>
      </w:hyperlink>
      <w:hyperlink w:anchor="s2">
        <w:r>
          <w:rPr>
            <w:rStyle w:val="Hyperlink"/>
          </w:rPr>
          <w:t xml:space="preserve">1. თორმეტი შეხვედრა</w:t>
        </w:r>
      </w:hyperlink>
      <w:hyperlink w:anchor="s3">
        <w:r>
          <w:rPr>
            <w:rStyle w:val="Hyperlink"/>
          </w:rPr>
          <w:t xml:space="preserve">2. ვინ წარმოადგენს</w:t>
        </w:r>
      </w:hyperlink>
      <w:hyperlink w:anchor="s4">
        <w:r>
          <w:rPr>
            <w:rStyle w:val="Hyperlink"/>
          </w:rPr>
          <w:t xml:space="preserve">3. თვის თემის არჩევა</w:t>
        </w:r>
      </w:hyperlink>
      <w:hyperlink w:anchor="s5">
        <w:r>
          <w:rPr>
            <w:rStyle w:val="Hyperlink"/>
          </w:rPr>
          <w:t xml:space="preserve">4. შეხვედრის ჩაწერა</w:t>
        </w:r>
      </w:hyperlink>
      <w:hyperlink w:anchor="s6">
        <w:r>
          <w:rPr>
            <w:rStyle w:val="Hyperlink"/>
          </w:rPr>
          <w:t xml:space="preserve">დანართი A — შეხვედრის გეგმის შაბლონი</w:t>
        </w:r>
      </w:hyperlink>
      <w:hyperlink w:anchor="s7">
        <w:r>
          <w:rPr>
            <w:rStyle w:val="Hyperlink"/>
          </w:rPr>
          <w:t xml:space="preserve">დანართი B — ხუთკითხვიანი გაწერის ბარათი (მასალა მე-2 შეხვედრისთვის)</w:t>
        </w:r>
      </w:hyperlink>
      <w:hyperlink w:anchor="s8">
        <w:r>
          <w:rPr>
            <w:rStyle w:val="Hyperlink"/>
          </w:rPr>
          <w:t xml:space="preserve">წყაროები</w:t>
        </w:r>
      </w:hyperlink>
      <w:hyperlink w:anchor="s9">
        <w:r>
          <w:rPr>
            <w:rStyle w:val="Hyperlink"/>
          </w:rPr>
          <w:t xml:space="preserve">საძიებელი</w:t>
        </w:r>
      </w:hyperlink>
    </w:p>
    <w:bookmarkStart w:id="35" w:name="X8350b401cdc866b0b0b2b28816d7dcdb80ebe88"/>
    <w:p>
      <w:pPr>
        <w:pStyle w:val="Heading2"/>
      </w:pPr>
      <w:r>
        <w:t xml:space="preserve">გაქვთ შეკითხვა ამ დოკუმენტთან დაკავშირებით?</w:t>
      </w:r>
    </w:p>
    <w:p>
      <w:pPr>
        <w:pStyle w:val="FirstParagraph"/>
      </w:pPr>
      <w:r>
        <w:t xml:space="preserve">შესწორებები, თარგმანის მოთხოვნები და წინადადებები შემდეგი გადახედვის ციკლისთვის ყველასგან მისალმებულია.</w:t>
      </w:r>
    </w:p>
    <w:p>
      <w:pPr>
        <w:pStyle w:val="BodyText"/>
      </w:pPr>
      <w:hyperlink r:id="rId34">
        <w:r>
          <w:rPr>
            <w:rStyle w:val="Hyperlink"/>
          </w:rPr>
          <w:t xml:space="preserve">მოგვწერეთ</w:t>
        </w:r>
      </w:hyperlink>
    </w:p>
    <w:bookmarkEnd w:id="35"/>
    <w:bookmarkStart w:id="55" w:name="asf-sb-wrap"/>
    <w:p>
      <w:pPr>
        <w:pStyle w:val="BodyText"/>
      </w:pPr>
      <w:bookmarkStart w:id="36" w:name="asf-qr-img"/>
      <w:r>
        <w:t xml:space="preserve">QR code</w:t>
      </w:r>
      <w:bookmarkEnd w:id="36"/>
    </w:p>
    <w:p>
      <w:pPr>
        <w:pStyle w:val="BodyText"/>
      </w:pPr>
      <w:r>
        <w:t xml:space="preserve">QR კოდი</w:t>
      </w:r>
    </w:p>
    <w:p>
      <w:pPr>
        <w:pStyle w:val="BodyText"/>
      </w:pPr>
      <w:r>
        <w:t xml:space="preserve">დაასკანერეთ გასახსნელად.</w:t>
      </w:r>
      <w:r>
        <w:br/>
      </w:r>
      <w:r>
        <w:t xml:space="preserve">დაბეჭდეთ გასაზიარებლად.</w:t>
      </w:r>
    </w:p>
    <w:p>
      <w:pPr>
        <w:pStyle w:val="BodyText"/>
      </w:pPr>
      <w:r>
        <w:t xml:space="preserve">გაზიარება</w:t>
      </w:r>
      <w:hyperlink w:anchor="Xa39a3ee5e6b4b0d3255bfef95601890afd80709">
        <w:r>
          <w:drawing>
            <wp:inline>
              <wp:extent cx="104775" cy="104775"/>
              <wp:effectExtent b="0" l="0" r="0" t="0"/>
              <wp:docPr descr="" title="" id="38" name="Picture"/>
              <a:graphic>
                <a:graphicData uri="http://schemas.openxmlformats.org/drawingml/2006/picture">
                  <pic:pic>
                    <pic:nvPicPr>
                      <pic:cNvPr descr="data:image/svg+xml;base64,PHN2ZyB3aWR0aD0iMTEiIGhlaWdodD0iMTEiIHZpZXdib3g9IjAgMCAyNCAyNCIgZmlsbD0iI2ZmZiI+PHBhdGggZD0iTTE4IDJoLTNhNSA1IDAgMDAtNSA1djNIN3Y0aDN2OGg0di04aDNsMS00aC00VjdhMSAxIDAgMDExLTFoM3oiPjwvcGF0aD48L3N2Zz4=" id="39" name="Picture"/>
                      <pic:cNvPicPr>
                        <a:picLocks noChangeArrowheads="1" noChangeAspect="1"/>
                      </pic:cNvPicPr>
                    </pic:nvPicPr>
                    <pic:blipFill>
                      <a:blip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37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4775" cy="104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Facebook</w:t>
        </w:r>
      </w:hyperlink>
      <w:hyperlink w:anchor="Xa39a3ee5e6b4b0d3255bfef95601890afd80709">
        <w:r>
          <w:drawing>
            <wp:inline>
              <wp:extent cx="104775" cy="104775"/>
              <wp:effectExtent b="0" l="0" r="0" t="0"/>
              <wp:docPr descr="" title="" id="41" name="Picture"/>
              <a:graphic>
                <a:graphicData uri="http://schemas.openxmlformats.org/drawingml/2006/picture">
                  <pic:pic>
                    <pic:nvPicPr>
                      <pic:cNvPr descr="data:image/svg+xml;base64,PHN2ZyB3aWR0aD0iMTEiIGhlaWdodD0iMTEiIHZpZXdib3g9IjAgMCAyNCAyNCIgZmlsbD0iI2ZmZiI+PHBhdGggZD0iTTE2IDhhNiA2IDAgMDE2IDZ2N2gtNHYtN2EyIDIgMCAwMC0yLTIgMiAyIDAgMDAtMiAydjdoLTR2LTdhNiA2IDAgMDE2LTZ6TTIgOWg0djEySDJ6Ij48L3BhdGg+PGNpcmNsZSBjeD0iNCIgY3k9IjQiIHI9IjIiPjwvY2lyY2xlPjwvc3ZnPg==" id="42" name="Picture"/>
                      <pic:cNvPicPr>
                        <a:picLocks noChangeArrowheads="1" noChangeAspect="1"/>
                      </pic:cNvPicPr>
                    </pic:nvPicPr>
                    <pic:blipFill>
                      <a:blip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4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4775" cy="104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LinkedIn</w:t>
        </w:r>
      </w:hyperlink>
      <w:hyperlink w:anchor="Xa39a3ee5e6b4b0d3255bfef95601890afd80709">
        <w:r>
          <w:drawing>
            <wp:inline>
              <wp:extent cx="104775" cy="104775"/>
              <wp:effectExtent b="0" l="0" r="0" t="0"/>
              <wp:docPr descr="" title="" id="44" name="Picture"/>
              <a:graphic>
                <a:graphicData uri="http://schemas.openxmlformats.org/drawingml/2006/picture">
                  <pic:pic>
                    <pic:nvPicPr>
                      <pic:cNvPr descr="data:image/svg+xml;base64,PHN2ZyB3aWR0aD0iMTEiIGhlaWdodD0iMTEiIHZpZXdib3g9IjAgMCAyMCAyMCIgZmlsbD0iI2ZmZiI+PHBhdGggZD0iTTE1Ljc1MSAxLjVoMi45MzVMMTIuNDEgOC44NCAxOS43NSAxOC41aC02LjE3N2wtNC41MS01Ljg5NUwzLjc0NyAxOC41SC44MTJsNi42My03LjU4MUwuMjUgMS41aDYuMzM3bDQuMDc3IDUuMzkgNS4wODctNS4zOXptLTEuMDMgMTUuM2gxLjYyNkw1LjM1OCAzLjE2NEgzLjYxNEwxNC43MiAxNi44eiI+PC9wYXRoPjwvc3ZnPg==" id="45" name="Picture"/>
                      <pic:cNvPicPr>
                        <a:picLocks noChangeArrowheads="1" noChangeAspect="1"/>
                      </pic:cNvPicPr>
                    </pic:nvPicPr>
                    <pic:blipFill>
                      <a:blip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43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4775" cy="104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X</w:t>
        </w:r>
      </w:hyperlink>
      <w:hyperlink w:anchor="Xa39a3ee5e6b4b0d3255bfef95601890afd80709">
        <w:r>
          <w:drawing>
            <wp:inline>
              <wp:extent cx="104775" cy="104775"/>
              <wp:effectExtent b="0" l="0" r="0" t="0"/>
              <wp:docPr descr="" title="" id="47" name="Picture"/>
              <a:graphic>
                <a:graphicData uri="http://schemas.openxmlformats.org/drawingml/2006/picture">
                  <pic:pic>
                    <pic:nvPicPr>
                      <pic:cNvPr descr="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" id="48" name="Picture"/>
                      <pic:cNvPicPr>
                        <a:picLocks noChangeArrowheads="1" noChangeAspect="1"/>
                      </pic:cNvPicPr>
                    </pic:nvPicPr>
                    <pic:blipFill>
                      <a:blip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4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4775" cy="104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WhatsApp</w:t>
        </w:r>
      </w:hyperlink>
    </w:p>
    <w:p>
      <w:pPr>
        <w:pStyle w:val="BodyText"/>
      </w:pPr>
      <w:r>
        <w:t xml:space="preserve">ბმულის კოპირება</w:t>
      </w:r>
    </w:p>
    <w:p>
      <w:pPr>
        <w:pStyle w:val="BodyText"/>
      </w:pPr>
      <w:r>
        <w:t xml:space="preserve">დოკუმენტი</w:t>
      </w:r>
      <w:hyperlink w:anchor="Xa39a3ee5e6b4b0d3255bfef95601890afd80709">
        <w:r>
          <w:drawing>
            <wp:inline>
              <wp:extent cx="95250" cy="95250"/>
              <wp:effectExtent b="0" l="0" r="0" t="0"/>
              <wp:docPr descr="" title="" id="50" name="Picture"/>
              <a:graphic>
                <a:graphicData uri="http://schemas.openxmlformats.org/drawingml/2006/picture">
                  <pic:pic>
                    <pic:nvPicPr>
                      <pic:cNvPr descr="data:image/svg+xml;base64,PHN2ZyB3aWR0aD0iMTAiIGhlaWdodD0iMTAiIHZpZXdib3g9IjAgMCAyNCAyNCIgZmlsbD0ibm9uZSIgc3Ryb2tlPSJyZ2JhKDI1NSwyNTUsMjU1LC43KSIgc3Ryb2tlLXdpZHRoPSIyLjUiPjxwYXRoIGQ9Ik0yMSAxNXY0YTIgMiAwIDAxLTIgMkg1YTIgMiAwIDAxLTItMnYtNCI+PC9wYXRoPjxwb2x5bGluZSBwb2ludHM9IjcgMTAgMTIgMTUgMTcgMTAiPjwvcG9seWxpbmU+PGxpbmUgeDE9IjEyIiB5MT0iMTUiIHgyPSIxMiIgeTI9IjMiPjwvbGluZT48L3N2Zz4=" id="51" name="Picture"/>
                      <pic:cNvPicPr>
                        <a:picLocks noChangeArrowheads="1" noChangeAspect="1"/>
                      </pic:cNvPicPr>
                    </pic:nvPicPr>
                    <pic:blipFill>
                      <a:blip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49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5250" cy="95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QR-ის ჩამოტვირთვა</w:t>
        </w:r>
      </w:hyperlink>
    </w:p>
    <w:p>
      <w:pPr>
        <w:pStyle w:val="BodyText"/>
      </w:pPr>
      <w:r>
        <w:drawing>
          <wp:inline>
            <wp:extent cx="95250" cy="9525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data:image/svg+xml;base64,PHN2ZyB3aWR0aD0iMTAiIGhlaWdodD0iMTAiIHZpZXdib3g9IjAgMCAyNCAyNCIgZmlsbD0ibm9uZSIgc3Ryb2tlPSJyZ2JhKDI1NSwyNTUsMjU1LC43KSIgc3Ryb2tlLXdpZHRoPSIyLjUiPjxwb2x5bGluZSBwb2ludHM9IjYgOSA2IDIgMTggMiAxOCA5Ij48L3BvbHlsaW5lPjxwYXRoIGQ9Ik02IDE4SDRhMiAyIDAgMDEtMi0ydi01YTIgMiAwIDAxMi0yaDE2YTIgMiAwIDAxMiAydjVhMiAyIDAgMDEtMiAyaC0yIj48L3BhdGg+PHJlY3QgeD0iNiIgeT0iMTQiIHdpZHRoPSIxMiIgaGVpZ2h0PSI4Ij48L3JlY3Q+PC9zdmc+" id="5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ბეჭდვა / PDF</w:t>
      </w:r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9" Target="media/rId49.svgz" /><Relationship Type="http://schemas.openxmlformats.org/officeDocument/2006/relationships/image" Id="rId52" Target="media/rId52.svgz" /><Relationship Type="http://schemas.openxmlformats.org/officeDocument/2006/relationships/image" Id="rId43" Target="media/rId43.svgz" /><Relationship Type="http://schemas.openxmlformats.org/officeDocument/2006/relationships/image" Id="rId40" Target="media/rId40.svgz" /><Relationship Type="http://schemas.openxmlformats.org/officeDocument/2006/relationships/image" Id="rId46" Target="media/rId46.svgz" /><Relationship Type="http://schemas.openxmlformats.org/officeDocument/2006/relationships/image" Id="rId37" Target="media/rId37.svgz" /><Relationship Type="http://schemas.openxmlformats.org/officeDocument/2006/relationships/hyperlink" Id="rId34" Target="/ka/contact/" TargetMode="External" /><Relationship Type="http://schemas.openxmlformats.org/officeDocument/2006/relationships/hyperlink" Id="rId23" Target="/ka/documents/" TargetMode="External" /><Relationship Type="http://schemas.openxmlformats.org/officeDocument/2006/relationships/hyperlink" Id="rId21" Target="/ka/model/quarterly-cycle/" TargetMode="External" /><Relationship Type="http://schemas.openxmlformats.org/officeDocument/2006/relationships/hyperlink" Id="rId20" Target="/ka/model/rol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/ka/contact/" TargetMode="External" /><Relationship Type="http://schemas.openxmlformats.org/officeDocument/2006/relationships/hyperlink" Id="rId23" Target="/ka/documents/" TargetMode="External" /><Relationship Type="http://schemas.openxmlformats.org/officeDocument/2006/relationships/hyperlink" Id="rId21" Target="/ka/model/quarterly-cycle/" TargetMode="External" /><Relationship Type="http://schemas.openxmlformats.org/officeDocument/2006/relationships/hyperlink" Id="rId20" Target="/ka/model/rol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პაციენტის განათლების კალენდარი</dc:title>
  <dc:creator/>
  <cp:keywords/>
  <dcterms:created xsi:type="dcterms:W3CDTF">2026-11-07T02:15:53Z</dcterms:created>
  <dcterms:modified xsi:type="dcterms:W3CDTF">2026-11-07T02:15:53Z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