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PED-POL-002: ბავშვთა დაცვა</w:t>
      </w:r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პოლიტიკა</w:t>
            </w:r>
          </w:p>
          <w:p>
            <w:pPr>
              <w:pStyle w:val="Compact"/>
              <w:jc w:val="left"/>
            </w:pPr>
            <w:r>
              <w:t>ბავშვთა დაცვა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>PED-POL-002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›  › </w:t>
      </w:r>
      <w:r/>
      <w:r/>
      <w:hyperlink r:id="rId21">
        <w:r>
          <w:rPr>
            <w:rStyle w:val="Hyperlink"/>
          </w:rPr>
          <w:t xml:space="preserve">Standard 16</w:t>
        </w:r>
      </w:hyperlink>
      <w:r/>
      <w:r/>
      <w:r/>
      <w:hyperlink r:id="rId22">
        <w:r>
          <w:rPr>
            <w:rStyle w:val="Hyperlink"/>
          </w:rPr>
          <w:t xml:space="preserve">Policies</w:t>
        </w:r>
      </w:hyperlink>
    </w:p>
    <w:p>
      <w:pPr>
        <w:pStyle w:val="BodyText"/>
      </w:pPr>
      <w:r>
        <w:t>პოლიტიკა · PED-POL-002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16.3</w:t>
        </w:r>
      </w:hyperlink>
    </w:p>
    <w:p>
      <w:pPr>
        <w:pStyle w:val="BodyText"/>
      </w:pPr>
      <w:r>
        <w:t>მოკლედ</w:t>
      </w:r>
    </w:p>
    <w:p>
      <w:pPr>
        <w:numPr>
          <w:ilvl w:val="0"/>
          <w:numId w:val="1001"/>
        </w:numPr>
        <w:pStyle w:val="Compact"/>
      </w:pPr>
      <w:r>
        <w:t>დასახელებული ბავშვთა დაცვის ხელმძღვანელი დანიშნულია და მისი სახელი თითოეულ სივრცეში არის გამოკრული.</w:t>
      </w:r>
    </w:p>
    <w:p>
      <w:pPr>
        <w:numPr>
          <w:ilvl w:val="0"/>
          <w:numId w:val="1001"/>
        </w:numPr>
        <w:pStyle w:val="Compact"/>
      </w:pPr>
      <w:r>
        <w:t>ყველა თანამშრომელი გადამზადებულია, რომ ამოიცნოს და აცნობოს ძალადობისა და უყურადღებობის შესახებ (WRK-REG-001).</w:t>
      </w:r>
    </w:p>
    <w:p>
      <w:pPr>
        <w:numPr>
          <w:ilvl w:val="0"/>
          <w:numId w:val="1001"/>
        </w:numPr>
        <w:pStyle w:val="Compact"/>
      </w:pPr>
      <w:r>
        <w:t>ყოველი შეშფოთება ჩაიწერება PED-REG-001-ში, ეცნობება ხელმძღვანელს და იმავე დღეს იქნება მასზე რეაგირება.</w:t>
      </w:r>
    </w:p>
    <w:p>
      <w:pPr>
        <w:numPr>
          <w:ilvl w:val="0"/>
          <w:numId w:val="1001"/>
        </w:numPr>
        <w:pStyle w:val="Compact"/>
      </w:pPr>
      <w:r>
        <w:t>ბავშვთან დაკავშირებული შეშფოთება არასოდეს იკავება იმის გამო, რომ ნიშნები ბუნდოვანია.</w:t>
      </w:r>
    </w:p>
    <w:p>
      <w:pPr>
        <w:numPr>
          <w:ilvl w:val="0"/>
          <w:numId w:val="1001"/>
        </w:numPr>
        <w:pStyle w:val="Compact"/>
      </w:pPr>
      <w:r>
        <w:t>დაუყოვნებლივ შეაჩერეთ და მიიღეთ დახმარება, თუ: ბავშვთან დაკავშირებული შეშფოთება არ არის ნაცნობი ან მასზე არ ხდება რეაგირება.</w:t>
      </w:r>
    </w:p>
    <w:bookmarkStart w:id="24" w:name="purpose"/>
    <w:p>
      <w:pPr>
        <w:pStyle w:val="Heading2"/>
      </w:pPr>
      <w:r>
        <w:t>1. მიზანი</w:t>
      </w:r>
    </w:p>
    <w:p>
      <w:pPr>
        <w:pStyle w:val="FirstParagraph"/>
      </w:pPr>
      <w:r>
        <w:t>ბავშვების ძალადობისა და უყურადღებობისგან დაცვა, იმის უზრუნველყოფით, რომ შეშფოთებები ამოიცნობა, ეცნობება და მათზე რეაგირება ხდება (16.3).</w:t>
      </w:r>
    </w:p>
    <w:bookmarkEnd w:id="24"/>
    <w:bookmarkStart w:id="25" w:name="scope"/>
    <w:p>
      <w:pPr>
        <w:pStyle w:val="Heading2"/>
      </w:pPr>
      <w:r>
        <w:t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საავადმყოფოს კლინიკური და დამხმარე პერსონალი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ადგილები</w:t>
            </w:r>
          </w:p>
        </w:tc>
        <w:tc>
          <w:tcPr/>
          <w:p>
            <w:pPr>
              <w:pStyle w:val="Compact"/>
              <w:jc w:val="left"/>
            </w:pPr>
            <w:r>
              <w:t>დაწესებულების ყველა პალატა, კლინიკა და განყოფილება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 ჯერზე, როცა აღწერილი საქმიანობა ხორციელდება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საქმიანობები, რომლებსაც მე-15 განყოფილებაში ჩამოთვლილი სხვა დოკუმენტი ფარავს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5"/>
    <w:bookmarkStart w:id="26" w:name="definitions"/>
    <w:p>
      <w:pPr>
        <w:pStyle w:val="Heading2"/>
      </w:pPr>
      <w:r>
        <w:t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ექიმი ან ექთანი, რომელიც ამ დროს უძღვება უბანს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background"/>
    <w:p>
      <w:pPr>
        <w:pStyle w:val="Heading2"/>
      </w:pPr>
      <w:r>
        <w:t>4. საფუძვლები</w:t>
      </w:r>
    </w:p>
    <w:p>
      <w:pPr>
        <w:pStyle w:val="FirstParagraph"/>
      </w:pPr>
      <w:r>
        <w:t>ბავშვებს შეიძლება ზიანი მიაყენონ მათ მომვლელებმა, და ნიშნები ხშირად გამოგვრჩება. დასახელებული ხელმძღვანელი და თანამშრომლები, რომლებმაც იციან, როგორ ამოიცნონ და აცნობონ შეშფოთება, არის ის, რაც მათ იცავს.</w:t>
      </w:r>
    </w:p>
    <w:bookmarkEnd w:id="27"/>
    <w:bookmarkStart w:id="28" w:name="responsibilities"/>
    <w:p>
      <w:pPr>
        <w:pStyle w:val="Heading2"/>
      </w:pPr>
      <w:r>
        <w:t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როლი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ბავშვთა დაცვის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იღებს შეშფოთებებს, წყვეტს ქმედებას და აწარმოებს რეგისტრს</w:t>
            </w:r>
          </w:p>
        </w:tc>
        <w:tc>
          <w:tcPr/>
          <w:p>
            <w:pPr>
              <w:pStyle w:val="Compact"/>
              <w:jc w:val="left"/>
            </w:pPr>
            <w:r>
              <w:t>კლინიცისტი ან მენეჯერი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პერსონალის ყველა წევრი</w:t>
            </w:r>
          </w:p>
        </w:tc>
        <w:tc>
          <w:tcPr/>
          <w:p>
            <w:pPr>
              <w:pStyle w:val="Compact"/>
              <w:jc w:val="left"/>
            </w:pPr>
            <w:r>
              <w:t>ამოიცანით, აცნობეთ და აღრიცხეთ ნებისმიერი შეშფოთება</w:t>
            </w:r>
          </w:p>
        </w:tc>
        <w:tc>
          <w:tcPr/>
          <w:p>
            <w:pPr>
              <w:pStyle w:val="Compact"/>
              <w:jc w:val="left"/>
            </w:pPr>
            <w:r>
              <w:t>ყველა როლი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materials-and-equipment"/>
    <w:p>
      <w:pPr>
        <w:pStyle w:val="Heading2"/>
      </w:pPr>
      <w:r>
        <w:t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>პირობა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ამ დოკუმენტში დასახელებული ჩანაწერები და ფორმები</w:t>
            </w:r>
          </w:p>
        </w:tc>
        <w:tc>
          <w:tcPr/>
          <w:p>
            <w:pPr>
              <w:pStyle w:val="Compact"/>
              <w:jc w:val="left"/>
            </w:pPr>
            <w:r>
              <w:t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გამოყენებამდე შემოწმებული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9"/>
    <w:bookmarkStart w:id="30" w:name="safety"/>
    <w:p>
      <w:pPr>
        <w:pStyle w:val="Heading2"/>
      </w:pPr>
      <w:r>
        <w:t>7. უსაფრთხოება</w:t>
      </w:r>
    </w:p>
    <w:p>
      <w:pPr>
        <w:numPr>
          <w:ilvl w:val="0"/>
          <w:numId w:val="1002"/>
        </w:numPr>
        <w:pStyle w:val="Compact"/>
      </w:pPr>
      <w:r>
        <w:t>შეაჩერეთ და მოითხოვეთ დახმარება, თუ პაციენტს დაუყოვნებელი საფრთხე ემუქრება. არ დააგვიანოთ გადაუდებელი მოვლა დოკუმენტაციის შევსებისთვის.</w:t>
      </w:r>
    </w:p>
    <w:bookmarkEnd w:id="30"/>
    <w:bookmarkStart w:id="31" w:name="before-you-start"/>
    <w:p>
      <w:pPr>
        <w:pStyle w:val="Heading2"/>
      </w:pPr>
      <w:r>
        <w:t>8. დაწყებამდე</w:t>
      </w:r>
    </w:p>
    <w:p>
      <w:pPr>
        <w:numPr>
          <w:ilvl w:val="0"/>
          <w:numId w:val="1003"/>
        </w:numPr>
        <w:pStyle w:val="Compact"/>
      </w:pPr>
      <w:r>
        <w:t>დაადასტურეთ, რომ ამ დოკუმენტში დასახელებული ფორმები და აღჭურვილობა ხელმისაწვდომი და მიმდინარეა.</w:t>
      </w:r>
    </w:p>
    <w:bookmarkEnd w:id="31"/>
    <w:bookmarkStart w:id="32" w:name="procedure"/>
    <w:p>
      <w:pPr>
        <w:pStyle w:val="Heading2"/>
      </w:pPr>
      <w:r>
        <w:t>9. პროცედურა</w:t>
      </w:r>
    </w:p>
    <w:p>
      <w:pPr>
        <w:pStyle w:val="FirstParagraph"/>
      </w:pPr>
      <w:r>
        <w:t>ეტაპი 1. დაასახელეთ ხელმძღვანელი.</w:t>
      </w:r>
    </w:p>
    <w:p>
      <w:pPr>
        <w:numPr>
          <w:ilvl w:val="0"/>
          <w:numId w:val="1004"/>
        </w:numPr>
        <w:pStyle w:val="Compact"/>
      </w:pPr>
      <w:r>
        <w:t>დაასახელეთ ბავშვთა დაცვის ხელმძღვანელი და მისი სახელი გამოაკარით თითოეულ სივრცეში.</w:t>
      </w:r>
    </w:p>
    <w:p>
      <w:pPr>
        <w:pStyle w:val="FirstParagraph"/>
      </w:pPr>
      <w:r>
        <w:rPr>
          <w:bCs/>
          <w:b/>
        </w:rPr>
        <w:t>მთავარი დებულება: დასახელებული და გამოკრული.</w:t>
      </w:r>
      <w:r/>
      <w:r/>
    </w:p>
    <w:p>
      <w:pPr>
        <w:pStyle w:val="BodyText"/>
      </w:pPr>
      <w:r>
        <w:t>ეტაპი 2. გადაამზადეთ თანამშრომლები.</w:t>
      </w:r>
    </w:p>
    <w:p>
      <w:pPr>
        <w:numPr>
          <w:ilvl w:val="0"/>
          <w:numId w:val="1005"/>
        </w:numPr>
        <w:pStyle w:val="Compact"/>
      </w:pPr>
      <w:r>
        <w:t>გადაამზადეთ ყველა თანამშრომელი, რომ ამოიცნონ და აცნობონ ძალადობისა და უყურადღებობის შესახებ და ეს აღრიცხონ.</w:t>
      </w:r>
    </w:p>
    <w:p>
      <w:pPr>
        <w:pStyle w:val="FirstParagraph"/>
      </w:pPr>
      <w:r>
        <w:rPr>
          <w:bCs/>
          <w:b/>
        </w:rPr>
        <w:t>მთავარი დებულება: ყველა გადამზადებულია.</w:t>
      </w:r>
      <w:r/>
      <w:r/>
    </w:p>
    <w:p>
      <w:pPr>
        <w:pStyle w:val="BodyText"/>
      </w:pPr>
      <w:r>
        <w:t>ეტაპი 3. აცნობეთ და იმოქმედეთ.</w:t>
      </w:r>
    </w:p>
    <w:p>
      <w:pPr>
        <w:numPr>
          <w:ilvl w:val="0"/>
          <w:numId w:val="1006"/>
        </w:numPr>
        <w:pStyle w:val="Compact"/>
      </w:pPr>
      <w:r>
        <w:t>ყოველი შეშფოთება ჩაწერეთ PED-REG-001-ში, აცნობეთ ხელმძღვანელს და იმავე დღეს იმოქმედეთ, მიმართეთ ბავშვთა დაცვის კანონით გათვალისწინებულ სამსახურს, როგორც ეროვნული კანონმდებლობა მოითხოვს.</w:t>
      </w:r>
    </w:p>
    <w:p>
      <w:pPr>
        <w:pStyle w:val="FirstParagraph"/>
      </w:pPr>
      <w:r>
        <w:rPr>
          <w:bCs/>
          <w:b/>
        </w:rPr>
        <w:t>მთავარი დებულება: იმავე დღეს რეაგირება.</w:t>
      </w:r>
      <w:r/>
      <w:r/>
    </w:p>
    <w:bookmarkEnd w:id="32"/>
    <w:bookmarkStart w:id="33" w:name="decision-points"/>
    <w:p>
      <w:pPr>
        <w:pStyle w:val="Heading2"/>
      </w:pPr>
      <w:r>
        <w:t>10. გადაწყვეტილების წერტილები</w:t>
      </w:r>
    </w:p>
    <w:p>
      <w:pPr>
        <w:numPr>
          <w:ilvl w:val="0"/>
          <w:numId w:val="1007"/>
        </w:numPr>
        <w:pStyle w:val="Compact"/>
      </w:pPr>
      <w:r>
        <w:t>ამ პროცედურაში გადაწყვეტილების წერტილები არ არის.</w:t>
      </w:r>
    </w:p>
    <w:bookmarkEnd w:id="33"/>
    <w:bookmarkStart w:id="34" w:name="special-situations"/>
    <w:p>
      <w:pPr>
        <w:pStyle w:val="Heading2"/>
      </w:pPr>
      <w:r>
        <w:t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არასამუშაო საათები</w:t>
            </w:r>
          </w:p>
        </w:tc>
        <w:tc>
          <w:tcPr/>
          <w:p>
            <w:pPr>
              <w:pStyle w:val="Compact"/>
              <w:jc w:val="left"/>
            </w:pPr>
            <w:r>
              <w:t>მიჰყევით იგივე ნაბიჯებს. გამოიყენეთ მორიგე კონტაქტი, რომელიც ზონის კედელზეა.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4"/>
    <w:bookmarkStart w:id="35" w:name="escalation"/>
    <w:p>
      <w:pPr>
        <w:pStyle w:val="Heading2"/>
      </w:pPr>
      <w:r>
        <w:t>12. ესკალაცია</w:t>
      </w:r>
    </w:p>
    <w:p>
      <w:pPr>
        <w:numPr>
          <w:ilvl w:val="0"/>
          <w:numId w:val="1008"/>
        </w:numPr>
        <w:pStyle w:val="Compact"/>
      </w:pPr>
      <w:r>
        <w:t>ნებისმიერი სერიოზული პრობლემა დაუყოვნებლივ გადაეცემა მორიგე კლინიკურ ხელმძღვანელს და იმავე დღეს კლინიკურ დირექტორს.</w:t>
      </w:r>
    </w:p>
    <w:bookmarkEnd w:id="35"/>
    <w:bookmarkStart w:id="36" w:name="monitoring"/>
    <w:p>
      <w:pPr>
        <w:pStyle w:val="Heading2"/>
      </w:pPr>
      <w:r>
        <w:t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სამიზნე</w:t>
            </w:r>
          </w:p>
        </w:tc>
        <w:tc>
          <w:tcPr/>
          <w:p>
            <w:pPr>
              <w:pStyle w:val="Compact"/>
              <w:jc w:val="left"/>
            </w:pPr>
            <w:r>
              <w:t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ბავშვთა დაცვაში გადამზადებული თანამშრომლები</w:t>
            </w:r>
          </w:p>
        </w:tc>
        <w:tc>
          <w:tcPr/>
          <w:p>
            <w:pPr>
              <w:pStyle w:val="Compact"/>
              <w:jc w:val="left"/>
            </w:pPr>
            <w:r>
              <w:t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ყოველკვარტალური</w:t>
            </w:r>
          </w:p>
        </w:tc>
        <w:tc>
          <w:tcPr/>
          <w:p>
            <w:pPr>
              <w:pStyle w:val="Compact"/>
              <w:jc w:val="left"/>
            </w:pPr>
            <w:r>
              <w:t>ბავშვთა დაცვის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ესკალაცია სამედიცინო დირექტორთან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შეშფოთებები ცნობილია და მათ მიმართ იმავე დღეს იმოქმედეს</w:t>
            </w:r>
          </w:p>
        </w:tc>
        <w:tc>
          <w:tcPr/>
          <w:p>
            <w:pPr>
              <w:pStyle w:val="Compact"/>
              <w:jc w:val="left"/>
            </w:pPr>
            <w:r>
              <w:t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ყოველი შეშფოთება</w:t>
            </w:r>
          </w:p>
        </w:tc>
        <w:tc>
          <w:tcPr/>
          <w:p>
            <w:pPr>
              <w:pStyle w:val="Compact"/>
              <w:jc w:val="left"/>
            </w:pPr>
            <w:r>
              <w:t>ბავშვთა დაცვის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ესკალაცია სამედიცინო დირექტორთან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6"/>
    <w:bookmarkStart w:id="37" w:name="records"/>
    <w:p>
      <w:pPr>
        <w:pStyle w:val="Heading2"/>
      </w:pPr>
      <w:r>
        <w:t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ამ დოკუმენტში დასახელებული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პაციენტის ჩანაწერი ან ზონის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>დაწესებულების ჩანაწერების პოლიტიკით დადგენილი წლები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7"/>
    <w:bookmarkStart w:id="38" w:name="training"/>
    <w:p>
      <w:pPr>
        <w:pStyle w:val="Heading2"/>
      </w:pPr>
      <w:r>
        <w:t>15. ტრენინგი</w:t>
      </w:r>
    </w:p>
    <w:p>
      <w:pPr>
        <w:numPr>
          <w:ilvl w:val="0"/>
          <w:numId w:val="1009"/>
        </w:numPr>
        <w:pStyle w:val="Compact"/>
      </w:pPr>
      <w:r>
        <w:t>პერსონალი ამ დოკუმენტში ივარჯიშებს ჩართვისას და ყოველ წელს განახლდება, დაფიქსირებული კომპეტენციის შემოწმებით.</w:t>
      </w:r>
    </w:p>
    <w:bookmarkEnd w:id="38"/>
    <w:bookmarkStart w:id="42" w:name="related-documents"/>
    <w:p>
      <w:pPr>
        <w:pStyle w:val="Heading2"/>
      </w:pPr>
      <w:r>
        <w:t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ID</w:t>
            </w:r>
          </w:p>
        </w:tc>
        <w:tc>
          <w:tcPr/>
          <w:p>
            <w:pPr>
              <w:pStyle w:val="Compact"/>
              <w:jc w:val="left"/>
            </w:pPr>
            <w:r>
              <w:t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PED-REG-001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ბავშვთა დაცვის შეშფოთების რეგისტრი</w:t>
            </w:r>
          </w:p>
        </w:tc>
        <w:tc>
          <w:tcPr/>
          <w:p>
            <w:pPr>
              <w:pStyle w:val="Compact"/>
              <w:jc w:val="left"/>
            </w:pPr>
            <w:r>
              <w:t>რეგისტრი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0">
              <w:r>
                <w:rPr>
                  <w:rStyle w:val="Hyperlink"/>
                </w:rPr>
                <w:t xml:space="preserve">WRK-REG-001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სწავლების მატრიცის რეგისტრი (არსებული, ხელახლა გამოყენებული)</w:t>
            </w:r>
          </w:p>
        </w:tc>
        <w:tc>
          <w:tcPr/>
          <w:p>
            <w:pPr>
              <w:pStyle w:val="Compact"/>
              <w:jc w:val="left"/>
            </w:pPr>
            <w:r>
              <w:t>რეგისტრი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1">
              <w:r>
                <w:rPr>
                  <w:rStyle w:val="Hyperlink"/>
                </w:rPr>
                <w:t xml:space="preserve">HOS-SOP-013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მოწყვლადი პაციენტები და დაცვა (არსებული, ხელახლა გამოყენებული)</w:t>
            </w:r>
          </w:p>
        </w:tc>
        <w:tc>
          <w:tcPr/>
          <w:p>
            <w:pPr>
              <w:pStyle w:val="Compact"/>
              <w:jc w:val="left"/>
            </w:pPr>
            <w:r>
              <w:t>პროცედურა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2"/>
    <w:bookmarkStart w:id="43" w:name="evidence"/>
    <w:p>
      <w:pPr>
        <w:pStyle w:val="Heading2"/>
      </w:pPr>
      <w:r>
        <w:t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დაფუძნებულია WHO-ს საკვანძო წიგნზე საავადმყოფოში ბავშვთა მოვლის შესახებ (2013) და გაეროს ბავშვის უფლებათა კონვენციაზე (1989).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E-006</w:t>
            </w:r>
          </w:p>
        </w:tc>
        <w:tc>
          <w:tcPr/>
          <w:p>
            <w:pPr>
              <w:pStyle w:val="Compact"/>
              <w:jc w:val="left"/>
            </w:pPr>
            <w:r>
              <w:t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ASF ექსპერტთა კომიტეტის კონსენსუსი.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3"/>
    <w:bookmarkStart w:id="44" w:name="change-history"/>
    <w:p>
      <w:pPr>
        <w:pStyle w:val="Heading2"/>
      </w:pPr>
      <w:r>
        <w:t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Cs/>
          <w:b/>
        </w:rPr>
        <w:t>დაგეგმილი კურსი: ბავშვთა დაცვა ჯანდაცვის დაწესებულებებში. დაგეგმილია ახალი კურსი.</w:t>
      </w:r>
      <w:r/>
      <w:r/>
    </w:p>
    <w:bookmarkEnd w:id="44"/>
    <w:bookmarkStart w:id="46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10"/>
        </w:numPr>
        <w:pStyle w:val="Compact"/>
      </w:pPr>
      <w:r>
        <w:t>Accréditation Sans Frontières (2026). ASF Policy Framework v1.2. (E-006)</w:t>
      </w:r>
      <w:r/>
      <w:r/>
    </w:p>
    <w:p>
      <w:pPr>
        <w:numPr>
          <w:ilvl w:val="0"/>
          <w:numId w:val="1010"/>
        </w:numPr>
        <w:pStyle w:val="Compact"/>
      </w:pPr>
      <w:r>
        <w:t>Accréditation Sans Frontières (2026). ASF Expert Committee consensus on Standard 1. (E-009)</w:t>
      </w:r>
      <w:r/>
      <w:r/>
    </w:p>
    <w:p>
      <w:pPr>
        <w:pStyle w:val="FirstParagraph"/>
      </w:pPr>
      <w:hyperlink r:id="rId45">
        <w:r>
          <w:rPr>
            <w:rStyle w:val="Hyperlink"/>
          </w:rPr>
          <w:t xml:space="preserve">Download this document as PDF</w:t>
        </w:r>
      </w:hyperlink>
    </w:p>
    <w:bookmarkEnd w:id="46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41" Type="http://schemas.openxmlformats.org/officeDocument/2006/relationships/hyperlink" Target="/documents/hos-sop-013/" TargetMode="External"/><Relationship Id="rId39" Type="http://schemas.openxmlformats.org/officeDocument/2006/relationships/hyperlink" Target="/documents/ped-reg-001/" TargetMode="External"/><Relationship Id="rId40" Type="http://schemas.openxmlformats.org/officeDocument/2006/relationships/hyperlink" Target="/documents/wrk-reg-001/" TargetMode="External"/><Relationship Id="rId22" Type="http://schemas.openxmlformats.org/officeDocument/2006/relationships/hyperlink" Target="/resources/policie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6/" TargetMode="External"/><Relationship Id="rId23" Type="http://schemas.openxmlformats.org/officeDocument/2006/relationships/hyperlink" Target="/standards/standard-16/#c16-3" TargetMode="External"/><Relationship Id="rId45" Type="http://schemas.openxmlformats.org/officeDocument/2006/relationships/hyperlink" Target="https://france-asf.fr/wp-content/uploads/2026/10/ped-pol-002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41" Type="http://schemas.openxmlformats.org/officeDocument/2006/relationships/hyperlink" Target="/documents/hos-sop-013/" TargetMode="External"/><Relationship Id="rId39" Type="http://schemas.openxmlformats.org/officeDocument/2006/relationships/hyperlink" Target="/documents/ped-reg-001/" TargetMode="External"/><Relationship Id="rId40" Type="http://schemas.openxmlformats.org/officeDocument/2006/relationships/hyperlink" Target="/documents/wrk-reg-001/" TargetMode="External"/><Relationship Id="rId22" Type="http://schemas.openxmlformats.org/officeDocument/2006/relationships/hyperlink" Target="/resources/policie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6/" TargetMode="External"/><Relationship Id="rId23" Type="http://schemas.openxmlformats.org/officeDocument/2006/relationships/hyperlink" Target="/standards/standard-16/#c16-3" TargetMode="External"/><Relationship Id="rId45" Type="http://schemas.openxmlformats.org/officeDocument/2006/relationships/hyperlink" Target="https://france-asf.fr/wp-content/uploads/2026/10/ped-pol-00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PED-POL-002: Child safeguarding</dc:title>
  <dc:creator/>
  <cp:keywords/>
  <dcterms:created xsi:type="dcterms:W3CDTF">2026-10-28T21:33:50Z</dcterms:created>
  <dcterms:modified xsi:type="dcterms:W3CDTF">2026-10-28T21:33:50Z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