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PHA-POL-001: აფთიაქის პასუხისმგებლობა და დაფარვა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PHA-POL-001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17.3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კვალიფიცირებული ფარმაცევტი პასუხისმგებელია ყოველ დროს, როცა სერვისი ღიაა, და სახელი გამოფენილია.</w:t>
      </w:r>
    </w:p>
    <w:p>
      <w:pPr>
        <w:numPr>
          <w:ilvl w:val="0"/>
          <w:numId w:val="1001"/>
        </w:numPr>
        <w:pStyle w:val="Compact"/>
      </w:pPr>
      <w:r>
        <w:t xml:space="preserve">დაფარვა შეესაბამება სამუშაო საათებს და აღირიცხება PHA-REG-001-ზე.</w:t>
      </w:r>
    </w:p>
    <w:p>
      <w:pPr>
        <w:numPr>
          <w:ilvl w:val="0"/>
          <w:numId w:val="1001"/>
        </w:numPr>
        <w:pStyle w:val="Compact"/>
      </w:pPr>
      <w:r>
        <w:t xml:space="preserve">სერვისი არ იხსნება, თუ მორიგეობაზე პასუხისმგებელი ფარმაცევტი არ არის.</w:t>
      </w:r>
    </w:p>
    <w:p>
      <w:pPr>
        <w:numPr>
          <w:ilvl w:val="0"/>
          <w:numId w:val="1001"/>
        </w:numPr>
        <w:pStyle w:val="Compact"/>
      </w:pPr>
      <w:r>
        <w:t xml:space="preserve">დაფარვაში ნებისმიერი ხარვეზი ივსება, ან სერვისი იხურება.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აფთიაქი ღიაა, მაგრამ მორიგეობაზე ფარმაცევტი არ არის.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კვალიფიცირებული ფარმაცევტი იყოს პასუხისმგებელი გაცემის ყოველ პერიოდზე (17.3).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აფთიაქი, სადაც არ არის კვალიფიცირებული პასუხისმგებელი ფარმაცევტი, არავის აქვს პასუხისმგებლობა გაცემულზე. პასუხისმგებლობა უნდა იყოს დასახელებული და ყოველთვის მოსული, როცა სერვისი ღიაა.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დაფარვის წესსა და გრაფიკს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სერვისის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ხსნის სერვისს მხოლოდ მაშინ, როცა დაფარვა უზრუნველყოფილია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ფარმაცევტის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პასუხისმგებელი ფარმაცევტი თითოეულ სესიაზე გრაფიკში (PHA-REG-001) და გამოაფინეთ სახელი.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დასახელებული და გამოფენილი.</w:t>
      </w:r>
    </w:p>
    <w:p>
      <w:pPr>
        <w:pStyle w:val="BodyText"/>
      </w:pPr>
      <w:r>
        <w:t xml:space="preserve">ეტაპი 2. დაფარვის შესაბამისობა საათებთან.</w:t>
      </w:r>
    </w:p>
    <w:p>
      <w:pPr>
        <w:numPr>
          <w:ilvl w:val="0"/>
          <w:numId w:val="1005"/>
        </w:numPr>
        <w:pStyle w:val="Compact"/>
      </w:pPr>
      <w:r>
        <w:t xml:space="preserve">შეუსაბამეთ გრაფიკი სამუშაო საათებს და აღრიცხეთ ნებისმიერი ხარვეზი.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შესაბამისობაშია.</w:t>
      </w:r>
    </w:p>
    <w:p>
      <w:pPr>
        <w:pStyle w:val="BodyText"/>
      </w:pPr>
      <w:r>
        <w:t xml:space="preserve">ეტაპი 3. დახურვა დაფარვის არარსებობისას.</w:t>
      </w:r>
    </w:p>
    <w:p>
      <w:pPr>
        <w:numPr>
          <w:ilvl w:val="0"/>
          <w:numId w:val="1006"/>
        </w:numPr>
        <w:pStyle w:val="Compact"/>
      </w:pPr>
      <w:r>
        <w:t xml:space="preserve">არ გახსნათ სერვისი, ან დახურეთ, თუ მორიგეობაზე ფარმაცევტი არ არის.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დაიხურა დაუფარავობისას.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სესიები, სადაც მორიგეობაზე არის პასუხისმგებელი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PHA-REG-001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ფარმაცევტების გრაფიკისა და დაფარვის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ტრენინგის მატრიცის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WHO Medication Without Harm guidance (2017)-ზე და WHO Good storage and distribution practices (2010)-ზე.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wrk-reg-001/" TargetMode="External" /><Relationship Type="http://schemas.openxmlformats.org/officeDocument/2006/relationships/hyperlink" Id="rId39" Target="/ka/documents/pha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3" TargetMode="External" /><Relationship Type="http://schemas.openxmlformats.org/officeDocument/2006/relationships/hyperlink" Id="rId44" Target="https://academy.gmj.ge/courses/asf-t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wrk-reg-001/" TargetMode="External" /><Relationship Type="http://schemas.openxmlformats.org/officeDocument/2006/relationships/hyperlink" Id="rId39" Target="/ka/documents/pha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3" TargetMode="External" /><Relationship Type="http://schemas.openxmlformats.org/officeDocument/2006/relationships/hyperlink" Id="rId44" Target="https://academy.gmj.ge/courses/asf-t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PHA-POL-001: აფთიაქის პასუხისმგებლობა და დაფარვა</dc:title>
  <dc:creator/>
  <cp:keywords/>
  <dcterms:created xsi:type="dcterms:W3CDTF">2026-11-07T01:30:52Z</dcterms:created>
  <dcterms:modified xsi:type="dcterms:W3CDTF">2026-11-07T01:30:52Z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