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71aafd7b7ff8aadb430831618d6aed396a9f33"/>
    <w:p>
      <w:pPr>
        <w:pStyle w:val="Heading1"/>
      </w:pPr>
      <w:r>
        <w:t xml:space="preserve">PHA-REG-001: ფარმაცევტის გრაფიკისა და დაფარვის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PHA-REG-001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17.3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მორიგე ფარმაცევტს ყოველ სესიაზე, შესაბამისობაში სამუშაო საათებთან, და დაფარვის ნებისმიერ ხარვეზს.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სესიის გახსნამდე აღნუსხეთ მორიგე ფარმაცევტი.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დაფარვის ნებისმიერი ხარვეზი და გატარებული ქმედება.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ფარმაცევტის რეგისტრაციის ნომერი.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 და სესია (სამუშაო საათები)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მორიგე ფარმაცევტი (სახელი)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რეგისტრაციის ნომერი (დადასტურებული)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დაფარვის ხარვეზი და გატარებული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აღნუსხა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Medication Without Harm-ის რეკომენდაციებს (2017) და WHO-ს Good storage and distribution practices-ს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7/" TargetMode="External"/><Relationship Id="rId23" Type="http://schemas.openxmlformats.org/officeDocument/2006/relationships/hyperlink" Target="/ka/standards/standard-17/#c17-3" TargetMode="External"/><Relationship Id="rId29" Type="http://schemas.openxmlformats.org/officeDocument/2006/relationships/hyperlink" Target="https://academy.gmj.ge/courses/asf-t-08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7/" TargetMode="External"/><Relationship Id="rId23" Type="http://schemas.openxmlformats.org/officeDocument/2006/relationships/hyperlink" Target="/ka/standards/standard-17/#c17-3" TargetMode="External"/><Relationship Id="rId29" Type="http://schemas.openxmlformats.org/officeDocument/2006/relationships/hyperlink" Target="https://academy.gmj.ge/courses/asf-t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2026-11-07T01:26:34Z</dcterms:created>
  <dcterms:modified xsi:type="dcterms:W3CDTF">2026-11-07T01:26:34Z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