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S3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PHC-SOP-006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r>
        <w:t xml:space="preserve">სისტემა S3 (პირველადი მზრუნველობის პრაქტიკა), კრიტერიუმი S3.7</w:t>
      </w:r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შესთავაზეთ სკრინინგი ყველა შესაბამის პაციენტს და ჩაწერეთ შეთავაზება.</w:t>
      </w:r>
    </w:p>
    <w:p>
      <w:pPr>
        <w:numPr>
          <w:ilvl w:val="0"/>
          <w:numId w:val="1001"/>
        </w:numPr>
        <w:pStyle w:val="Compact"/>
      </w:pPr>
      <w:r>
        <w:t xml:space="preserve">თითოეული არანორმალური შედეგი მიიყვანეთ მკაფიო შედეგამდე.</w:t>
      </w:r>
    </w:p>
    <w:p>
      <w:pPr>
        <w:numPr>
          <w:ilvl w:val="0"/>
          <w:numId w:val="1001"/>
        </w:numPr>
        <w:pStyle w:val="Compact"/>
      </w:pPr>
      <w:r>
        <w:t xml:space="preserve">თვალყური ადევნეთ მონაწილეობას დროთა განმავლობაში.</w:t>
      </w:r>
    </w:p>
    <w:p>
      <w:pPr>
        <w:numPr>
          <w:ilvl w:val="0"/>
          <w:numId w:val="1001"/>
        </w:numPr>
        <w:pStyle w:val="Compact"/>
      </w:pPr>
      <w:r>
        <w:t xml:space="preserve">ყოველ წელს მონაწილეობის შესახებ მოახსენეთ პრაქტიკის შეხვედრას.</w:t>
      </w:r>
    </w:p>
    <w:p>
      <w:pPr>
        <w:numPr>
          <w:ilvl w:val="0"/>
          <w:numId w:val="1001"/>
        </w:numPr>
        <w:pStyle w:val="Compact"/>
      </w:pPr>
      <w:r>
        <w:t xml:space="preserve">შეჩერდით და დაუყოვნებლივ მოითხოვეთ დახმარება, თუ: არანორმალურ სკრინინგის შედეგს არ აქვს ჩაწერილი შემდგომი მიმდევრობა.</w:t>
      </w:r>
    </w:p>
    <w:bookmarkStart w:id="22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სკრინინგის მუშაობისთვის: შეთავაზებული, მიმდევრობით მიყვანილი შედეგამდე და გაზომილი (S3.7).</w:t>
      </w:r>
    </w:p>
    <w:bookmarkEnd w:id="22"/>
    <w:bookmarkStart w:id="23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3"/>
    <w:bookmarkStart w:id="24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4"/>
    <w:bookmarkStart w:id="25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სკრინინგი სიცოცხლეს იხსნის მხოლოდ მაშინ, როცა ადამიანებს მას სთავაზობენ და შედეგები მკაფიო გადაწყვეტილებამდე აღწევს. მონაწილეობის თვალყურის დევნება აჩვენებს, მუშაობს თუ არა შეთავაზება.</w:t>
      </w:r>
    </w:p>
    <w:bookmarkEnd w:id="25"/>
    <w:bookmarkStart w:id="26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სკრინინგის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ატარებს შეთავაზებას და მიმდევრობას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კლინიკოსი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მიღება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აღრიცხავს შეთავაზებასა და უარს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გავლილი აქვს სწავლება</w:t>
            </w:r>
          </w:p>
        </w:tc>
      </w:tr>
    </w:tbl>
    <w:bookmarkEnd w:id="26"/>
    <w:bookmarkStart w:id="27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7"/>
    <w:bookmarkStart w:id="28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28"/>
    <w:bookmarkStart w:id="29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29"/>
    <w:bookmarkStart w:id="30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შეთავაზება.</w:t>
      </w:r>
    </w:p>
    <w:p>
      <w:pPr>
        <w:numPr>
          <w:ilvl w:val="0"/>
          <w:numId w:val="1004"/>
        </w:numPr>
        <w:pStyle w:val="Compact"/>
      </w:pPr>
      <w:r>
        <w:t xml:space="preserve">მოიწვიეთ შესაბამისი პაციენტები სკრინინგის პროგრამაში.</w:t>
      </w:r>
    </w:p>
    <w:p>
      <w:pPr>
        <w:numPr>
          <w:ilvl w:val="0"/>
          <w:numId w:val="1004"/>
        </w:numPr>
        <w:pStyle w:val="Compact"/>
      </w:pPr>
      <w:r>
        <w:t xml:space="preserve">ჩაწერეთ შეთავაზება და ნებისმიერი უარი.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ყოველ შესაბამის პაციენტს ეთავაზება.</w:t>
      </w:r>
    </w:p>
    <w:p>
      <w:pPr>
        <w:pStyle w:val="BodyText"/>
      </w:pPr>
      <w:r>
        <w:t xml:space="preserve">ნაბიჯი 2. თვალყურის დევნება.</w:t>
      </w:r>
    </w:p>
    <w:p>
      <w:pPr>
        <w:numPr>
          <w:ilvl w:val="0"/>
          <w:numId w:val="1005"/>
        </w:numPr>
        <w:pStyle w:val="Compact"/>
      </w:pPr>
      <w:r>
        <w:t xml:space="preserve">ყოველი არანორმალური შედეგისთვის მოაწყვეთ მიმდევრობა და ჩაწერეთ შედეგი.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შედეგი შედეგის გარეშე წარუმატებლობაა.</w:t>
      </w:r>
    </w:p>
    <w:p>
      <w:pPr>
        <w:pStyle w:val="BodyText"/>
      </w:pPr>
      <w:r>
        <w:t xml:space="preserve">ნაბიჯი 3. გაზომეთ.</w:t>
      </w:r>
    </w:p>
    <w:p>
      <w:pPr>
        <w:numPr>
          <w:ilvl w:val="0"/>
          <w:numId w:val="1006"/>
        </w:numPr>
        <w:pStyle w:val="Compact"/>
      </w:pPr>
      <w:r>
        <w:t xml:space="preserve">ყოველ წელს გამოთვალეთ მონაწილეობა და ჩაწერეთ იგი.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მონაწილეობა აჩვენებს, მუშაობს თუ არა შეთავაზება.</w:t>
      </w:r>
    </w:p>
    <w:bookmarkEnd w:id="30"/>
    <w:bookmarkStart w:id="31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1"/>
    <w:bookmarkStart w:id="32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2"/>
    <w:bookmarkStart w:id="33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3"/>
    <w:bookmarkStart w:id="34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შესაბამისი პაციენტები, რომლებსაც სკრინინგი შესთავაზეს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მინიმუმ 70%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სკრინინგის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კლინიკურ ხელმძღვანელთან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არანორმალური შედეგები შედეგით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სკრინინგის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კლინიკურ ხელმძღვანელთან</w:t>
            </w:r>
          </w:p>
        </w:tc>
      </w:tr>
    </w:tbl>
    <w:bookmarkEnd w:id="34"/>
    <w:bookmarkStart w:id="35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5"/>
    <w:bookmarkStart w:id="36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6"/>
    <w:bookmarkStart w:id="38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PHC-REG-005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სკრინინგის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</w:tbl>
    <w:bookmarkEnd w:id="38"/>
    <w:bookmarkStart w:id="39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შესაბამისობა და ინტერვალები ეროვნული სკრინინგის პროგრამის მიხედვით.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39"/>
    <w:bookmarkStart w:id="40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0"/>
    <w:bookmarkStart w:id="41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სწავლების კურსი.</w:t>
      </w:r>
    </w:p>
    <w:bookmarkEnd w:id="41"/>
    <w:bookmarkStart w:id="45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2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r>
        <w:t xml:space="preserve">დაკავშირებული სტანდარტი</w:t>
      </w:r>
    </w:p>
    <w:p>
      <w:pPr>
        <w:numPr>
          <w:ilvl w:val="0"/>
          <w:numId w:val="1011"/>
        </w:numPr>
        <w:pStyle w:val="Compact"/>
      </w:pPr>
      <w:hyperlink r:id="rId43">
        <w:r>
          <w:rPr>
            <w:rStyle w:val="Hyperlink"/>
          </w:rPr>
          <w:t xml:space="preserve">სტანდარტი 59: ამბულატორიული სამედიცინო სპეციალობები</w:t>
        </w:r>
      </w:hyperlink>
    </w:p>
    <w:p>
      <w:pPr>
        <w:pStyle w:val="FirstParagraph"/>
      </w:pPr>
      <w:hyperlink r:id="rId44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7" Target="/ka/documents/phc-reg-005/" TargetMode="External" /><Relationship Type="http://schemas.openxmlformats.org/officeDocument/2006/relationships/hyperlink" Id="rId21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3" Target="https://france-asf.fr/ka/standards/standard-59/" TargetMode="External" /><Relationship Type="http://schemas.openxmlformats.org/officeDocument/2006/relationships/hyperlink" Id="rId44" Target="https://france-asf.fr/wp-content/uploads/2026/10/phc-sop-006-form-1.docx" TargetMode="External" /><Relationship Type="http://schemas.openxmlformats.org/officeDocument/2006/relationships/hyperlink" Id="rId42" Target="https://france-asf.fr/wp-content/uploads/2026/10/phc-sop-006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/ka/documents/phc-reg-005/" TargetMode="External" /><Relationship Type="http://schemas.openxmlformats.org/officeDocument/2006/relationships/hyperlink" Id="rId21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3" Target="https://france-asf.fr/ka/standards/standard-59/" TargetMode="External" /><Relationship Type="http://schemas.openxmlformats.org/officeDocument/2006/relationships/hyperlink" Id="rId44" Target="https://france-asf.fr/wp-content/uploads/2026/10/phc-sop-006-form-1.docx" TargetMode="External" /><Relationship Type="http://schemas.openxmlformats.org/officeDocument/2006/relationships/hyperlink" Id="rId42" Target="https://france-asf.fr/wp-content/uploads/2026/10/phc-sop-006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2026-11-07T01:44:46Z</dcterms:created>
  <dcterms:modified xsi:type="dcterms:W3CDTF">2026-11-07T01:44:46Z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