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PHY-SOP-001:</w:t>
      </w:r>
      <w:r>
        <w:t xml:space="preserve"> </w:t>
      </w:r>
      <w:r>
        <w:t xml:space="preserve">პროგრესის</w:t>
      </w:r>
      <w:r>
        <w:t xml:space="preserve"> </w:t>
      </w:r>
      <w:r>
        <w:t xml:space="preserve">გაზომვა</w:t>
      </w:r>
      <w:r>
        <w:t xml:space="preserve"> </w:t>
      </w:r>
      <w:r>
        <w:t xml:space="preserve">მიზნებთან</w:t>
      </w:r>
      <w:r>
        <w:t xml:space="preserve"> </w:t>
      </w:r>
      <w:r>
        <w:t xml:space="preserve">მიმართებით</w:t>
      </w:r>
    </w:p>
    <w:bookmarkStart w:id="45" w:name="X2e44c765b7bd3dd17cb6d47c257789dafbd465f"/>
    <w:p>
      <w:pPr>
        <w:pStyle w:val="Heading1"/>
      </w:pPr>
      <w:r>
        <w:t xml:space="preserve">PHY-SOP-001: პროგრესის გაზომვა მიზნებთან მიმართებით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18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სტანდარტული საოპერაციო პროცედურები (SOPs)</w:t>
        </w:r>
      </w:hyperlink>
    </w:p>
    <w:p>
      <w:pPr>
        <w:pStyle w:val="BodyText"/>
      </w:pPr>
      <w:r>
        <w:t xml:space="preserve">პროცედურა · PHY-SOP-001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18.4</w:t>
        </w:r>
      </w:hyperlink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პროგრესი იზომება დადგენილ ინტერვალებში შეფასებისას შეთანხმებულ მიზნებთან მიმართებით.</w:t>
      </w:r>
    </w:p>
    <w:p>
      <w:pPr>
        <w:numPr>
          <w:ilvl w:val="0"/>
          <w:numId w:val="1001"/>
        </w:numPr>
        <w:pStyle w:val="Compact"/>
      </w:pPr>
      <w:r>
        <w:t xml:space="preserve">გამოიყენეთ მდგომარეობისთვის შესაფერისი საზომი, რომელიც იწერება PHY-FRM-003-ზე.</w:t>
      </w:r>
    </w:p>
    <w:p>
      <w:pPr>
        <w:numPr>
          <w:ilvl w:val="0"/>
          <w:numId w:val="1001"/>
        </w:numPr>
        <w:pStyle w:val="Compact"/>
      </w:pPr>
      <w:r>
        <w:t xml:space="preserve">როცა პროგრესი ჩერდება, შეცვალეთ გეგმა და ჩაწერეთ მიზეზი.</w:t>
      </w:r>
    </w:p>
    <w:p>
      <w:pPr>
        <w:numPr>
          <w:ilvl w:val="0"/>
          <w:numId w:val="1001"/>
        </w:numPr>
        <w:pStyle w:val="Compact"/>
      </w:pPr>
      <w:r>
        <w:t xml:space="preserve">მიმდინარე კურსზე მყოფი ყოველი პაციენტის პროგრესი განიხილება მინიმუმ თვეში ერთხელ.</w:t>
      </w:r>
    </w:p>
    <w:p>
      <w:pPr>
        <w:numPr>
          <w:ilvl w:val="0"/>
          <w:numId w:val="1001"/>
        </w:numPr>
        <w:pStyle w:val="Compact"/>
      </w:pPr>
      <w:r>
        <w:t xml:space="preserve">დაუყოვნებლივ შეაჩერეთ და მიიღეთ დახმარება, თუ: პაციენტს თვეების განმავლობაში მკურნალობენ საზომის გარეშე.</w:t>
      </w:r>
    </w:p>
    <w:bookmarkStart w:id="24" w:name="მიზანი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იმის უზრუნველსაყოფად, რომ მკურნალობის პროგრესი იზომებოდეს და გეგმა შეიცვლებოდეს, როცა პროგრესი ჩერდება (18.4).</w:t>
      </w:r>
    </w:p>
    <w:bookmarkEnd w:id="24"/>
    <w:bookmarkStart w:id="25" w:name="მოქმედების-სფერო"/>
    <w:p>
      <w:pPr>
        <w:pStyle w:val="Heading2"/>
      </w:pPr>
      <w:r>
        <w:t xml:space="preserve">2. მოქმედების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საავადმყოფოს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ყველა პალატა, კლინიკა და განყოფილება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ყოველთვის, როცა აღწერილი საქმიანობა სრულდება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საქმიანობა, რომელიც მოცემულია სხვა დოკუმენტში, ჩამოთვლილში მე-15 განყოფილებაში</w:t>
            </w:r>
          </w:p>
        </w:tc>
      </w:tr>
    </w:tbl>
    <w:bookmarkEnd w:id="25"/>
    <w:bookmarkStart w:id="26" w:name="განმარტებები"/>
    <w:p>
      <w:pPr>
        <w:pStyle w:val="Heading2"/>
      </w:pPr>
      <w:r>
        <w:t xml:space="preserve">3.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ექიმი ან ექთანი, რომელიც იმ დროს პასუხობს ამ მიმართულებაზე</w:t>
            </w:r>
          </w:p>
        </w:tc>
      </w:tr>
    </w:tbl>
    <w:bookmarkEnd w:id="26"/>
    <w:bookmarkStart w:id="27" w:name="ფონი"/>
    <w:p>
      <w:pPr>
        <w:pStyle w:val="Heading2"/>
      </w:pPr>
      <w:r>
        <w:t xml:space="preserve">4. ფონი</w:t>
      </w:r>
    </w:p>
    <w:p>
      <w:pPr>
        <w:pStyle w:val="FirstParagraph"/>
      </w:pPr>
      <w:r>
        <w:t xml:space="preserve">მკურნალობა, რომლის პროგრესიც არ იზომება, ვერ დადასტურდება, როგორც ეფექტური, და მარტივია მისი თვეობით გაგრძელება უსარგებლოდ. დადგენილ ინტერვალებში პროგრესის გაზომვა გუნდს ეუბნება, როდის შეცვალოს გეგმა.</w:t>
      </w:r>
    </w:p>
    <w:bookmarkEnd w:id="27"/>
    <w:bookmarkStart w:id="28" w:name="პასუხისმგებლობები"/>
    <w:p>
      <w:pPr>
        <w:pStyle w:val="Heading2"/>
      </w:pPr>
      <w:r>
        <w:t xml:space="preserve"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მკურნალი ფიზიოთერაპევტი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ზომავს პროგრესს და ცვლის გეგმას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კლინიცისტი</w:t>
            </w:r>
          </w:p>
        </w:tc>
      </w:tr>
    </w:tbl>
    <w:bookmarkEnd w:id="28"/>
    <w:bookmarkStart w:id="29" w:name="მასალები-და-აღჭურვილობა"/>
    <w:p>
      <w:pPr>
        <w:pStyle w:val="Heading2"/>
      </w:pPr>
      <w:r>
        <w:t xml:space="preserve"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ერთეული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ჩანაწერები და ფორმები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მიმდინარე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მოწმდება გამოყენებამდე</w:t>
            </w:r>
          </w:p>
        </w:tc>
      </w:tr>
    </w:tbl>
    <w:bookmarkEnd w:id="29"/>
    <w:bookmarkStart w:id="30" w:name="უსაფრთხოება"/>
    <w:p>
      <w:pPr>
        <w:pStyle w:val="Heading2"/>
      </w:pPr>
      <w:r>
        <w:t xml:space="preserve">7. 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თუ პაციენტს დაუყოვნებლივი რისკი ემუქრება, შეაჩერეთ და მოუხმეთ დახმარებას. არ გადადოთ გადაუდებელი მკურნალობა დოკუმენტაციის შევსებისთვის.</w:t>
      </w:r>
    </w:p>
    <w:bookmarkEnd w:id="30"/>
    <w:bookmarkStart w:id="31" w:name="დაწყებამდე"/>
    <w:p>
      <w:pPr>
        <w:pStyle w:val="Heading2"/>
      </w:pPr>
      <w:r>
        <w:t xml:space="preserve">8. 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დაადასტურეთ, რომ ამ დოკუმენტში დასახელებული ფორმები და აღჭურვილობა ხელმისაწვდომია და მიმდინარეა.</w:t>
      </w:r>
    </w:p>
    <w:bookmarkEnd w:id="31"/>
    <w:bookmarkStart w:id="32" w:name="პროცედურა"/>
    <w:p>
      <w:pPr>
        <w:pStyle w:val="Heading2"/>
      </w:pPr>
      <w:r>
        <w:t xml:space="preserve">9. პროცედურა</w:t>
      </w:r>
    </w:p>
    <w:p>
      <w:pPr>
        <w:pStyle w:val="FirstParagraph"/>
      </w:pPr>
      <w:r>
        <w:t xml:space="preserve">ნაბიჯი 1. გაზომვა.</w:t>
      </w:r>
    </w:p>
    <w:p>
      <w:pPr>
        <w:numPr>
          <w:ilvl w:val="0"/>
          <w:numId w:val="1004"/>
        </w:numPr>
        <w:pStyle w:val="Compact"/>
      </w:pPr>
      <w:r>
        <w:t xml:space="preserve">დადგენილ ინტერვალში გაზომეთ პროგრესი შეთანხმებულ მიზნებთან მიმართებით.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გაზომილია.</w:t>
      </w:r>
    </w:p>
    <w:p>
      <w:pPr>
        <w:pStyle w:val="BodyText"/>
      </w:pPr>
      <w:r>
        <w:t xml:space="preserve">ნაბიჯი 2. ჩაწერა.</w:t>
      </w:r>
    </w:p>
    <w:p>
      <w:pPr>
        <w:numPr>
          <w:ilvl w:val="0"/>
          <w:numId w:val="1005"/>
        </w:numPr>
        <w:pStyle w:val="Compact"/>
      </w:pPr>
      <w:r>
        <w:t xml:space="preserve">ჩაწერეთ საზომი PHY-FRM-003-ზე.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ჩაწერილია.</w:t>
      </w:r>
    </w:p>
    <w:p>
      <w:pPr>
        <w:pStyle w:val="BodyText"/>
      </w:pPr>
      <w:r>
        <w:t xml:space="preserve">ნაბიჯი 3. გეგმის შეცვლა.</w:t>
      </w:r>
    </w:p>
    <w:p>
      <w:pPr>
        <w:numPr>
          <w:ilvl w:val="0"/>
          <w:numId w:val="1006"/>
        </w:numPr>
        <w:pStyle w:val="Compact"/>
      </w:pPr>
      <w:r>
        <w:t xml:space="preserve">როცა პროგრესი ჩერდება, შეცვალეთ გეგმა და ჩაწერეთ ცვლილება.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გეგმა შეცვლილია.</w:t>
      </w:r>
    </w:p>
    <w:bookmarkEnd w:id="32"/>
    <w:bookmarkStart w:id="33" w:name="გადაწყვეტილების-წერტილები"/>
    <w:p>
      <w:pPr>
        <w:pStyle w:val="Heading2"/>
      </w:pPr>
      <w:r>
        <w:t xml:space="preserve">10. გადაწყვეტილების წერტილები</w:t>
      </w:r>
    </w:p>
    <w:p>
      <w:pPr>
        <w:numPr>
          <w:ilvl w:val="0"/>
          <w:numId w:val="1007"/>
        </w:numPr>
        <w:pStyle w:val="Compact"/>
      </w:pPr>
      <w:r>
        <w:t xml:space="preserve">ამ პროცედურაში გადაწყვეტილების წერტილები არ არის.</w:t>
      </w:r>
    </w:p>
    <w:bookmarkEnd w:id="33"/>
    <w:bookmarkStart w:id="34" w:name="განსაკუთრებული-სიტუაციები"/>
    <w:p>
      <w:pPr>
        <w:pStyle w:val="Heading2"/>
      </w:pPr>
      <w:r>
        <w:t xml:space="preserve"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სამუშაო საათების გარეთ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მიჰყევით იგივე ნაბიჯებს. გამოიყენეთ დეჟურის საკონტაქტო ინფორმაცია ამ მიმართულების კედელზე.</w:t>
            </w:r>
          </w:p>
        </w:tc>
      </w:tr>
    </w:tbl>
    <w:bookmarkEnd w:id="34"/>
    <w:bookmarkStart w:id="35" w:name="ესკალაცია"/>
    <w:p>
      <w:pPr>
        <w:pStyle w:val="Heading2"/>
      </w:pPr>
      <w:r>
        <w:t xml:space="preserve">12. ესკალაცია</w:t>
      </w:r>
    </w:p>
    <w:p>
      <w:pPr>
        <w:numPr>
          <w:ilvl w:val="0"/>
          <w:numId w:val="1008"/>
        </w:numPr>
        <w:pStyle w:val="Compact"/>
      </w:pPr>
      <w:r>
        <w:t xml:space="preserve">ყოველი სერიოზული პრობლემა დაუყოვნებლივ გადაეცემა დეჟურ კლინიკურ ხელმძღვანელს, იმავე დღეს კი — კლინიკურ დირექტორს.</w:t>
      </w:r>
    </w:p>
    <w:bookmarkEnd w:id="35"/>
    <w:bookmarkStart w:id="36" w:name="მონიტორინგი"/>
    <w:p>
      <w:pPr>
        <w:pStyle w:val="Heading2"/>
      </w:pPr>
      <w:r>
        <w:t xml:space="preserve"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ზომა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სამიზნე 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პაციენტები, რომელთა პროგრესი იზომება დადგენილ ინტერვალში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მთავარი ფიზიოთერაპევტი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გადაეცით სამედიცინო დირექტორს</w:t>
            </w:r>
          </w:p>
        </w:tc>
      </w:tr>
    </w:tbl>
    <w:bookmarkEnd w:id="36"/>
    <w:bookmarkStart w:id="37" w:name="ჩანაწერები"/>
    <w:p>
      <w:pPr>
        <w:pStyle w:val="Heading2"/>
      </w:pPr>
      <w:r>
        <w:t xml:space="preserve"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პაციენტის ჩანაწერი ან მიმართულების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ჩანაწერების პოლიტიკით დადგენილი პერიოდი, წლები</w:t>
            </w:r>
          </w:p>
        </w:tc>
      </w:tr>
    </w:tbl>
    <w:bookmarkEnd w:id="37"/>
    <w:bookmarkStart w:id="38" w:name="სწავლება"/>
    <w:p>
      <w:pPr>
        <w:pStyle w:val="Heading2"/>
      </w:pPr>
      <w:r>
        <w:t xml:space="preserve">15. სწავლება</w:t>
      </w:r>
    </w:p>
    <w:p>
      <w:pPr>
        <w:numPr>
          <w:ilvl w:val="0"/>
          <w:numId w:val="1009"/>
        </w:numPr>
        <w:pStyle w:val="Compact"/>
      </w:pPr>
      <w:r>
        <w:t xml:space="preserve">პერსონალი ამ დოკუმენტში გადამზადდება ჩართვისას და ყოველწლიურად განახლდება ჩაწერილი კომპეტენციის შემოწმებით.</w:t>
      </w:r>
    </w:p>
    <w:bookmarkEnd w:id="38"/>
    <w:bookmarkStart w:id="40" w:name="დაკავშირებული-დოკუმენტები"/>
    <w:p>
      <w:pPr>
        <w:pStyle w:val="Heading2"/>
      </w:pPr>
      <w:r>
        <w:t xml:space="preserve"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PHY-FRM-003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პროგრესის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</w:tr>
    </w:tbl>
    <w:bookmarkEnd w:id="40"/>
    <w:bookmarkStart w:id="41" w:name="მტკიცებულებები"/>
    <w:p>
      <w:pPr>
        <w:pStyle w:val="Heading2"/>
      </w:pPr>
      <w:r>
        <w:t xml:space="preserve"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წყარო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დაფუძნებულია WCPT-ის Descriptor of physical therapy-ზე (2019) და WHO-ს Rehabilitation in health systems სახელმძღვანელოზე (2019).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ადაპტირებული.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41"/>
    <w:bookmarkStart w:id="42" w:name="ცვლილებების-ისტორია"/>
    <w:p>
      <w:pPr>
        <w:pStyle w:val="Heading2"/>
      </w:pPr>
      <w:r>
        <w:t xml:space="preserve"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დამტკიცება</w:t>
            </w:r>
          </w:p>
        </w:tc>
      </w:tr>
    </w:tbl>
    <w:bookmarkEnd w:id="42"/>
    <w:bookmarkStart w:id="43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10"/>
        </w:numPr>
        <w:pStyle w:val="Compact"/>
      </w:pPr>
      <w:r>
        <w:t xml:space="preserve">Rehabilitation and Recovery Programs in Fitness and Wellness</w:t>
      </w:r>
      <w:r>
        <w:t xml:space="preserve"> </w:t>
      </w:r>
      <w:r>
        <w:t xml:space="preserve">(FIT-10)</w:t>
      </w:r>
    </w:p>
    <w:bookmarkEnd w:id="43"/>
    <w:bookmarkStart w:id="44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44"/>
    <w:bookmarkEnd w:id="4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ka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9" Target="/documents/phy-frm-003/" TargetMode="External" /><Relationship Type="http://schemas.openxmlformats.org/officeDocument/2006/relationships/hyperlink" Id="rId22" Target="/ka/resources/sop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18/" TargetMode="External" /><Relationship Type="http://schemas.openxmlformats.org/officeDocument/2006/relationships/hyperlink" Id="rId23" Target="/ka/standards/standard-18/#c18-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/documents/phy-frm-003/" TargetMode="External" /><Relationship Type="http://schemas.openxmlformats.org/officeDocument/2006/relationships/hyperlink" Id="rId22" Target="/ka/resources/sop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18/" TargetMode="External" /><Relationship Type="http://schemas.openxmlformats.org/officeDocument/2006/relationships/hyperlink" Id="rId23" Target="/ka/standards/standard-18/#c18-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PHY-SOP-001: პროგრესის გაზომვა მიზნებთან მიმართებით</dc:title>
  <dc:creator/>
  <dc:language>ka</dc:language>
  <cp:keywords/>
  <dcterms:created xsi:type="dcterms:W3CDTF">2026-11-07T01:11:29Z</dcterms:created>
  <dcterms:modified xsi:type="dcterms:W3CDTF">2026-11-07T01:11:29Z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