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PNT-POL-001: მკურნალობის ეკვივალენტურობა, კონფიდენციალურობა და კლინიკური გადაწყვეტილებების დამოუკიდებლობა პატიმრობაში</w:t>
      </w:r>
      <w:r/>
      <w:r/>
      <w:r/>
      <w:r/>
      <w:r/>
      <w:r/>
      <w:r/>
      <w:r/>
      <w:r/>
      <w:r/>
      <w:r/>
      <w:r/>
      <w:r/>
      <w:r/>
      <w:r/>
      <w:r/>
      <w:r/>
      <w:r/>
      <w:r/>
      <w:r/>
      <w:r/>
      <w:r/>
    </w:p>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ორგანიზაციის სახელი</w:t>
            </w:r>
          </w:p>
          <w:p>
            <w:pPr>
              <w:pStyle w:val="Compact"/>
              <w:jc w:val="left"/>
            </w:pPr>
            <w:r>
              <w:t>ობიექტი ან განყოფილება</w:t>
            </w:r>
          </w:p>
        </w:tc>
        <w:tc>
          <w:tcPr>
            <w:gridSpan w:val="2"/>
          </w:tcPr>
          <w:p>
            <w:pPr>
              <w:pStyle w:val="Compact"/>
              <w:jc w:val="left"/>
            </w:pPr>
            <w:r>
              <w:t>პოლიტიკა</w:t>
            </w:r>
          </w:p>
          <w:p>
            <w:pPr>
              <w:pStyle w:val="Compact"/>
              <w:jc w:val="left"/>
            </w:pPr>
            <w:r>
              <w:t>მკურნალობის ეკვივალენტურობა, კონფიდენციალურობა და კლინიკური გადაწყვეტილებების დამოუკიდებლობა პატიმრობაში</w:t>
            </w:r>
          </w:p>
        </w:tc>
        <w:tc>
          <w:tcPr/>
          <w:p>
            <w:pPr>
              <w:pStyle w:val="Compact"/>
            </w:pPr>
          </w:p>
        </w:tc>
      </w:tr>
      <w:tr>
        <w:tc>
          <w:tcPr/>
          <w:p>
            <w:pPr>
              <w:pStyle w:val="Compact"/>
              <w:jc w:val="left"/>
            </w:pPr>
            <w:r>
              <w:t>დოკუმენტის ID</w:t>
            </w:r>
          </w:p>
        </w:tc>
        <w:tc>
          <w:tcPr/>
          <w:p>
            <w:pPr>
              <w:pStyle w:val="Compact"/>
              <w:jc w:val="left"/>
            </w:pPr>
            <w:r>
              <w:t>PNT-POL-001</w:t>
            </w:r>
          </w:p>
        </w:tc>
        <w:tc>
          <w:tcPr/>
          <w:p>
            <w:pPr>
              <w:pStyle w:val="Compact"/>
              <w:jc w:val="left"/>
            </w:pPr>
            <w:r>
              <w:t>ვერსია</w:t>
            </w:r>
          </w:p>
        </w:tc>
        <w:tc>
          <w:tcPr/>
          <w:p>
            <w:pPr>
              <w:pStyle w:val="Compact"/>
              <w:jc w:val="left"/>
            </w:pPr>
            <w:r>
              <w:t>1.0</w:t>
            </w:r>
          </w:p>
        </w:tc>
      </w:tr>
      <w:tr>
        <w:tc>
          <w:tcPr/>
          <w:p>
            <w:pPr>
              <w:pStyle w:val="Compact"/>
              <w:jc w:val="left"/>
            </w:pPr>
            <w:r>
              <w:t>სტატუსი</w:t>
            </w:r>
          </w:p>
        </w:tc>
        <w:tc>
          <w:tcPr/>
          <w:p>
            <w:pPr>
              <w:pStyle w:val="Compact"/>
              <w:jc w:val="left"/>
            </w:pPr>
            <w:r>
              <w:t>ცარიელი ფორმა, მოსარგებად</w:t>
            </w:r>
          </w:p>
        </w:tc>
        <w:tc>
          <w:tcPr/>
          <w:p>
            <w:pPr>
              <w:pStyle w:val="Compact"/>
              <w:jc w:val="left"/>
            </w:pPr>
            <w:r>
              <w:t>გამოშვების თარიღი</w:t>
            </w:r>
          </w:p>
        </w:tc>
        <w:tc>
          <w:tcPr/>
          <w:p>
            <w:pPr>
              <w:pStyle w:val="Compact"/>
              <w:jc w:val="left"/>
            </w:pPr>
            <w:r>
              <w:t xml:space="preserve"> </w:t>
            </w:r>
          </w:p>
        </w:tc>
      </w:tr>
      <w:tr>
        <w:tc>
          <w:tcPr/>
          <w:p>
            <w:pPr>
              <w:pStyle w:val="Compact"/>
              <w:jc w:val="left"/>
            </w:pPr>
            <w:r>
              <w:t>გადახედვის თარიღი</w:t>
            </w:r>
          </w:p>
        </w:tc>
        <w:tc>
          <w:tcPr/>
          <w:p>
            <w:pPr>
              <w:pStyle w:val="Compact"/>
              <w:jc w:val="left"/>
            </w:pPr>
            <w:r>
              <w:t xml:space="preserve"> </w:t>
            </w:r>
          </w:p>
        </w:tc>
        <w:tc>
          <w:tcPr/>
          <w:p>
            <w:pPr>
              <w:pStyle w:val="Compact"/>
              <w:jc w:val="left"/>
            </w:pPr>
            <w:r>
              <w:t>ანაცვლებს</w:t>
            </w:r>
          </w:p>
        </w:tc>
        <w:tc>
          <w:tcPr/>
          <w:p>
            <w:pPr>
              <w:pStyle w:val="Compact"/>
              <w:jc w:val="left"/>
            </w:pPr>
            <w:r>
              <w:t xml:space="preserve"> </w:t>
            </w:r>
          </w:p>
        </w:tc>
      </w:tr>
      <w:tr>
        <w:tc>
          <w:tcPr/>
          <w:p>
            <w:pPr>
              <w:pStyle w:val="Compact"/>
              <w:jc w:val="left"/>
            </w:pPr>
            <w:r>
              <w:t>პასუხისმგებელი</w:t>
            </w:r>
          </w:p>
        </w:tc>
        <w:tc>
          <w:tcPr/>
          <w:p>
            <w:pPr>
              <w:pStyle w:val="Compact"/>
              <w:jc w:val="left"/>
            </w:pPr>
            <w:r>
              <w:t xml:space="preserve"> </w:t>
            </w:r>
          </w:p>
        </w:tc>
        <w:tc>
          <w:tcPr/>
          <w:p>
            <w:pPr>
              <w:pStyle w:val="Compact"/>
              <w:jc w:val="left"/>
            </w:pPr>
            <w:r>
              <w:t>დაამტკიცა</w:t>
            </w:r>
          </w:p>
        </w:tc>
        <w:tc>
          <w:tcPr/>
          <w:p>
            <w:pPr>
              <w:pStyle w:val="Compact"/>
              <w:jc w:val="left"/>
            </w:pPr>
            <w:r>
              <w:t xml:space="preserve"> </w:t>
            </w:r>
          </w:p>
        </w:tc>
      </w:tr>
      <w:tr>
        <w:tc>
          <w:tcPr/>
          <w:p>
            <w:pPr>
              <w:pStyle w:val="Compact"/>
              <w:jc w:val="left"/>
            </w:pPr>
            <w:r>
              <w:t>ხელმოწერა</w:t>
            </w:r>
          </w:p>
        </w:tc>
        <w:tc>
          <w:tcPr>
            <w:gridSpan w:val="3"/>
          </w:tcPr>
          <w:p>
            <w:pPr>
              <w:pStyle w:val="Compact"/>
              <w:jc w:val="left"/>
            </w:pPr>
            <w:r>
              <w:t xml:space="preserve"> </w:t>
            </w:r>
          </w:p>
        </w:tc>
      </w:tr>
    </w:tbl>
    <w:p>
      <w:pPr>
        <w:pStyle w:val="BodyText"/>
      </w:pPr>
      <w:hyperlink r:id="rId20">
        <w:r>
          <w:rPr>
            <w:rStyle w:val="Hyperlink"/>
          </w:rPr>
          <w:t xml:space="preserve">Standards</w:t>
        </w:r>
      </w:hyperlink>
      <w:r>
        <w:t xml:space="preserve"> ›  › </w:t>
      </w:r>
      <w:r/>
      <w:r/>
      <w:hyperlink r:id="rId21">
        <w:r>
          <w:rPr>
            <w:rStyle w:val="Hyperlink"/>
          </w:rPr>
          <w:t xml:space="preserve">Standard 62</w:t>
        </w:r>
      </w:hyperlink>
      <w:r/>
      <w:r/>
      <w:r/>
      <w:hyperlink r:id="rId22">
        <w:r>
          <w:rPr>
            <w:rStyle w:val="Hyperlink"/>
          </w:rPr>
          <w:t xml:space="preserve">Policies</w:t>
        </w:r>
      </w:hyperlink>
    </w:p>
    <w:p>
      <w:pPr>
        <w:pStyle w:val="BodyText"/>
      </w:pPr>
      <w:r>
        <w:t>პოლიტიკა · PNT-POL-001 · ვერსია 1.0 · დამტკიცებულია ASF ექსპერტთა კომიტეტის მიერ</w:t>
      </w:r>
    </w:p>
    <w:p>
      <w:pPr>
        <w:pStyle w:val="BodyText"/>
      </w:pPr>
      <w:r>
        <w:rPr>
          <w:bCs/>
          <w:b/>
        </w:rPr>
        <w:t xml:space="preserve">მხარს უჭერს: </w:t>
      </w:r>
      <w:r/>
      <w:hyperlink r:id="rId23">
        <w:r>
          <w:rPr>
            <w:rStyle w:val="Hyperlink"/>
          </w:rPr>
          <w:t xml:space="preserve">62.2</w:t>
        </w:r>
      </w:hyperlink>
    </w:p>
    <w:p>
      <w:pPr>
        <w:pStyle w:val="BodyText"/>
      </w:pPr>
      <w:r>
        <w:t>მოკლედ</w:t>
      </w:r>
    </w:p>
    <w:p>
      <w:pPr>
        <w:numPr>
          <w:ilvl w:val="0"/>
          <w:numId w:val="1001"/>
        </w:numPr>
        <w:pStyle w:val="Compact"/>
      </w:pPr>
      <w:r>
        <w:t>მკურნალობა პატიმრობაში ხარისხით ეკვივალენტურია საზოგადოებაში მკურნალობისა (გაეროს ნელსონ მანდელას წესები, წესი 24).</w:t>
      </w:r>
    </w:p>
    <w:p>
      <w:pPr>
        <w:numPr>
          <w:ilvl w:val="0"/>
          <w:numId w:val="1001"/>
        </w:numPr>
        <w:pStyle w:val="Compact"/>
      </w:pPr>
      <w:r>
        <w:t>კლინიკურ გადაწყვეტილებებს იღებენ ჯანდაცვის სპეციალისტები, მხოლოდ კლინიკური საფუძვლით.</w:t>
      </w:r>
    </w:p>
    <w:p>
      <w:pPr>
        <w:numPr>
          <w:ilvl w:val="0"/>
          <w:numId w:val="1001"/>
        </w:numPr>
        <w:pStyle w:val="Compact"/>
      </w:pPr>
      <w:r>
        <w:t>კონსულტაციები კონფიდენციალურია, თუ ჩანაწერით დასაბუთებული უსაფრთხოების მიზეზით არ არის საჭირო უსაფრთხოების თანდასწრება.</w:t>
      </w:r>
    </w:p>
    <w:p>
      <w:pPr>
        <w:numPr>
          <w:ilvl w:val="0"/>
          <w:numId w:val="1001"/>
        </w:numPr>
        <w:pStyle w:val="Compact"/>
      </w:pPr>
      <w:r>
        <w:t>სამედიცინო ჩანაწერები ინახება საპატიმრო დოკუმენტებისგან განცალკევებით და მათზე წვდომა აქვს მხოლოდ ჯანდაცვის თანამშრომლებს.</w:t>
      </w:r>
    </w:p>
    <w:p>
      <w:pPr>
        <w:numPr>
          <w:ilvl w:val="0"/>
          <w:numId w:val="1001"/>
        </w:numPr>
        <w:pStyle w:val="Compact"/>
      </w:pPr>
      <w:r>
        <w:t>დაუყოვნებლივ შეაჩერეთ საქმიანობა და გამოიძახეთ დახმარება, თუ: საპატიმროს თანამშრომლები უგულებელყოფენ კლინიკურ გადაწყვეტილებას, ან სამედიცინო ჩანაწერები ღიაა საპატიმროს თანამშრომლებისთვის.</w:t>
      </w:r>
    </w:p>
    <w:bookmarkStart w:id="24" w:name="purpose"/>
    <w:p>
      <w:pPr>
        <w:pStyle w:val="Heading2"/>
      </w:pPr>
      <w:r>
        <w:t>1. მიზანი</w:t>
      </w:r>
    </w:p>
    <w:p>
      <w:pPr>
        <w:pStyle w:val="FirstParagraph"/>
      </w:pPr>
      <w:r>
        <w:t>იმისათვის, რომ პატიმრობაში მყოფმა პირებმა მიიღონ საზოგადოების ტოლფასი ხარისხის მკურნალობა და მათი ჯანმრთელობის ინფორმაცია იყოს დაცული (62.2 და 62.3).</w:t>
      </w:r>
    </w:p>
    <w:bookmarkEnd w:id="24"/>
    <w:bookmarkStart w:id="25" w:name="scope"/>
    <w:p>
      <w:pPr>
        <w:pStyle w:val="Heading2"/>
      </w:pPr>
      <w:r>
        <w:t>2. სფერო</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ვრცელდება</w:t>
            </w:r>
          </w:p>
        </w:tc>
        <w:tc>
          <w:tcPr/>
          <w:p>
            <w:pPr>
              <w:pStyle w:val="Compact"/>
              <w:jc w:val="left"/>
            </w:pPr>
            <w:r>
              <w:t>საავადმყოფოს კლინიკური და დამხმარე პერსონალი</w:t>
            </w:r>
          </w:p>
        </w:tc>
      </w:tr>
      <w:tr>
        <w:tc>
          <w:tcPr/>
          <w:p>
            <w:pPr>
              <w:pStyle w:val="Compact"/>
              <w:jc w:val="left"/>
            </w:pPr>
            <w:r>
              <w:t>ადგილები</w:t>
            </w:r>
          </w:p>
        </w:tc>
        <w:tc>
          <w:tcPr/>
          <w:p>
            <w:pPr>
              <w:pStyle w:val="Compact"/>
              <w:jc w:val="left"/>
            </w:pPr>
            <w:r>
              <w:t>დაწესებულების ყველა პალატა, კლინიკა და განყოფილება</w:t>
            </w:r>
          </w:p>
        </w:tc>
      </w:tr>
      <w:tr>
        <w:tc>
          <w:tcPr/>
          <w:p>
            <w:pPr>
              <w:pStyle w:val="Compact"/>
              <w:jc w:val="left"/>
            </w:pPr>
            <w:r>
              <w:t>როდის</w:t>
            </w:r>
          </w:p>
        </w:tc>
        <w:tc>
          <w:tcPr/>
          <w:p>
            <w:pPr>
              <w:pStyle w:val="Compact"/>
              <w:jc w:val="left"/>
            </w:pPr>
            <w:r>
              <w:t>ყოველთვის, როცა სრულდება აღწერილი საქმიანობა</w:t>
            </w:r>
          </w:p>
        </w:tc>
      </w:tr>
      <w:tr>
        <w:tc>
          <w:tcPr/>
          <w:p>
            <w:pPr>
              <w:pStyle w:val="Compact"/>
              <w:jc w:val="left"/>
            </w:pPr>
            <w:r>
              <w:t>არ ვრცელდება</w:t>
            </w:r>
          </w:p>
        </w:tc>
        <w:tc>
          <w:tcPr/>
          <w:p>
            <w:pPr>
              <w:pStyle w:val="Compact"/>
              <w:jc w:val="left"/>
            </w:pPr>
            <w:r>
              <w:t>საქმიანობა, რომელსაც მოიცავს სხვა დოკუმენტი, ჩამოთვლილი მე-15 განყოფილებაში</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5"/>
    <w:bookmarkStart w:id="26" w:name="definitions"/>
    <w:p>
      <w:pPr>
        <w:pStyle w:val="Heading2"/>
      </w:pPr>
      <w:r>
        <w:t>3. განმარტებები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ტერმინი</w:t>
            </w:r>
          </w:p>
        </w:tc>
        <w:tc>
          <w:tcPr/>
          <w:p>
            <w:pPr>
              <w:pStyle w:val="Compact"/>
              <w:jc w:val="left"/>
            </w:pPr>
            <w:r>
              <w:t>მნიშვნელობა</w:t>
            </w:r>
          </w:p>
        </w:tc>
      </w:tr>
      <w:tr>
        <w:tc>
          <w:tcPr/>
          <w:p>
            <w:pPr>
              <w:pStyle w:val="Compact"/>
              <w:jc w:val="left"/>
            </w:pPr>
            <w:r>
              <w:t>კლინიკური ხელმძღვანელი</w:t>
            </w:r>
          </w:p>
        </w:tc>
        <w:tc>
          <w:tcPr/>
          <w:p>
            <w:pPr>
              <w:pStyle w:val="Compact"/>
              <w:jc w:val="left"/>
            </w:pPr>
            <w:r>
              <w:t>ექიმი ან ექთანი, რომელიც ამ დროს უძღვება უბანს</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6"/>
    <w:bookmarkStart w:id="27" w:name="background"/>
    <w:p>
      <w:pPr>
        <w:pStyle w:val="Heading2"/>
      </w:pPr>
      <w:r>
        <w:t>4. საფუძვლები</w:t>
      </w:r>
    </w:p>
    <w:p>
      <w:pPr>
        <w:pStyle w:val="FirstParagraph"/>
      </w:pPr>
      <w:r>
        <w:t>გაეროს ნელსონ მანდელას წესები (2015, წესი 24) მოითხოვს, რომ პატიმრებმა მიიღონ იგივე სტანდარტის ჯანდაცვა, რაც ხელმისაწვდომია საზოგადოებაში, დისკრიმინაციის გარეშე. WHO Prisons and Health (2014) ადგენს იმავე ეკვივალენტობის პრინციპს და იმას, რომ კლინიკურ გადაწყვეტილებებს იღებენ ჯანდაცვის სპეციალისტები კლინიკური საფუძვლით.</w:t>
      </w:r>
    </w:p>
    <w:bookmarkEnd w:id="27"/>
    <w:bookmarkStart w:id="28" w:name="responsibilities"/>
    <w:p>
      <w:pPr>
        <w:pStyle w:val="Heading2"/>
      </w:pPr>
      <w:r>
        <w:t>5. პასუხისმგებლობები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როლი</w:t>
            </w:r>
          </w:p>
        </w:tc>
        <w:tc>
          <w:tcPr/>
          <w:p>
            <w:pPr>
              <w:pStyle w:val="Compact"/>
              <w:jc w:val="left"/>
            </w:pPr>
            <w:r>
              <w:t>პასუხისმგებლობა</w:t>
            </w:r>
          </w:p>
        </w:tc>
        <w:tc>
          <w:tcPr/>
          <w:p>
            <w:pPr>
              <w:pStyle w:val="Compact"/>
              <w:jc w:val="left"/>
            </w:pPr>
            <w:r>
              <w:t>კომპეტენცია</w:t>
            </w:r>
          </w:p>
        </w:tc>
      </w:tr>
      <w:tr>
        <w:tc>
          <w:tcPr/>
          <w:p>
            <w:pPr>
              <w:pStyle w:val="Compact"/>
              <w:jc w:val="left"/>
            </w:pPr>
            <w:r>
              <w:t>კლინიკური ლიდერი პატიმრობაში</w:t>
            </w:r>
          </w:p>
        </w:tc>
        <w:tc>
          <w:tcPr/>
          <w:p>
            <w:pPr>
              <w:pStyle w:val="Compact"/>
              <w:jc w:val="left"/>
            </w:pPr>
            <w:r>
              <w:t>უზრუნველყოფს, რომ მკურნალობა აკმაყოფილებს საზოგადოების სტანდარტებს და გადაწყვეტილებები კლინიკური რჩება</w:t>
            </w:r>
          </w:p>
        </w:tc>
        <w:tc>
          <w:tcPr/>
          <w:p>
            <w:pPr>
              <w:pStyle w:val="Compact"/>
              <w:jc w:val="left"/>
            </w:pPr>
            <w:r>
              <w:t>ჯანდაცვის ორგანო</w:t>
            </w:r>
          </w:p>
        </w:tc>
      </w:tr>
      <w:tr>
        <w:tc>
          <w:tcPr/>
          <w:p>
            <w:pPr>
              <w:pStyle w:val="Compact"/>
              <w:jc w:val="left"/>
            </w:pPr>
            <w:r>
              <w:t>პატიმრობის უფროსი</w:t>
            </w:r>
          </w:p>
        </w:tc>
        <w:tc>
          <w:tcPr/>
          <w:p>
            <w:pPr>
              <w:pStyle w:val="Compact"/>
              <w:jc w:val="left"/>
            </w:pPr>
            <w:r>
              <w:t>უზრუნველყოფს, რომ უსაფრთხოება არ უგულებელყოფს კლინიკურ გადაწყვეტილებებს</w:t>
            </w:r>
          </w:p>
        </w:tc>
        <w:tc>
          <w:tcPr/>
          <w:p>
            <w:pPr>
              <w:pStyle w:val="Compact"/>
              <w:jc w:val="left"/>
            </w:pPr>
            <w:r>
              <w:t>იუსტიციის ორგანო</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bookmarkEnd w:id="28"/>
    <w:bookmarkStart w:id="29" w:name="materials-and-equipment"/>
    <w:p>
      <w:pPr>
        <w:pStyle w:val="Heading2"/>
      </w:pPr>
      <w:r>
        <w:t>6. მასალები და აღჭურვილობა</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ერთეული</w:t>
            </w:r>
          </w:p>
        </w:tc>
        <w:tc>
          <w:tcPr/>
          <w:p>
            <w:pPr>
              <w:pStyle w:val="Compact"/>
              <w:jc w:val="left"/>
            </w:pPr>
            <w:r>
              <w:t>მოთხოვნა</w:t>
            </w:r>
          </w:p>
        </w:tc>
        <w:tc>
          <w:tcPr/>
          <w:p>
            <w:pPr>
              <w:pStyle w:val="Compact"/>
              <w:jc w:val="left"/>
            </w:pPr>
            <w:r>
              <w:t>მდგომარეობა</w:t>
            </w:r>
          </w:p>
        </w:tc>
      </w:tr>
      <w:tr>
        <w:tc>
          <w:tcPr/>
          <w:p>
            <w:pPr>
              <w:pStyle w:val="Compact"/>
              <w:jc w:val="left"/>
            </w:pPr>
            <w:r>
              <w:t>ამ დოკუმენტში მითითებული ჩანაწერები და ფორმები</w:t>
            </w:r>
          </w:p>
        </w:tc>
        <w:tc>
          <w:tcPr/>
          <w:p>
            <w:pPr>
              <w:pStyle w:val="Compact"/>
              <w:jc w:val="left"/>
            </w:pPr>
            <w:r>
              <w:t>მიმდინარე ვერსია</w:t>
            </w:r>
          </w:p>
        </w:tc>
        <w:tc>
          <w:tcPr/>
          <w:p>
            <w:pPr>
              <w:pStyle w:val="Compact"/>
              <w:jc w:val="left"/>
            </w:pPr>
            <w:r>
              <w:t>შემოწმებულია გამოყენებამდე</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bookmarkEnd w:id="29"/>
    <w:bookmarkStart w:id="30" w:name="safety"/>
    <w:p>
      <w:pPr>
        <w:pStyle w:val="Heading2"/>
      </w:pPr>
      <w:r>
        <w:t>7. უსაფრთხოება</w:t>
      </w:r>
    </w:p>
    <w:p>
      <w:pPr>
        <w:numPr>
          <w:ilvl w:val="0"/>
          <w:numId w:val="1002"/>
        </w:numPr>
        <w:pStyle w:val="Compact"/>
      </w:pPr>
      <w:r>
        <w:t>თუ პაციენტი პირდაპირ საფრთხის ქვეშაა, შეაჩერეთ საქმიანობა და გამოიძახეთ დახმარება. გადაუდებელი მოვლა არ გადადოთ დოკუმენტაციის შევსების გამო.</w:t>
      </w:r>
    </w:p>
    <w:bookmarkEnd w:id="30"/>
    <w:bookmarkStart w:id="31" w:name="before-you-start"/>
    <w:p>
      <w:pPr>
        <w:pStyle w:val="Heading2"/>
      </w:pPr>
      <w:r>
        <w:t>8. დაწყებამდე</w:t>
      </w:r>
    </w:p>
    <w:p>
      <w:pPr>
        <w:numPr>
          <w:ilvl w:val="0"/>
          <w:numId w:val="1003"/>
        </w:numPr>
        <w:pStyle w:val="Compact"/>
      </w:pPr>
      <w:r>
        <w:t>დარწმუნდით, რომ ამ დოკუმენტში მითითებული ფორმები და აღჭურვილობა ხელმისაწვდომია და მიმდინარეა.</w:t>
      </w:r>
    </w:p>
    <w:bookmarkEnd w:id="31"/>
    <w:bookmarkStart w:id="32" w:name="procedure"/>
    <w:p>
      <w:pPr>
        <w:pStyle w:val="Heading2"/>
      </w:pPr>
      <w:r>
        <w:t>9. პროცედურა</w:t>
      </w:r>
    </w:p>
    <w:p>
      <w:pPr>
        <w:pStyle w:val="FirstParagraph"/>
      </w:pPr>
      <w:r>
        <w:t>ნაბიჯი 1. კლინიკური გადაწყვეტილება.</w:t>
      </w:r>
    </w:p>
    <w:p>
      <w:pPr>
        <w:numPr>
          <w:ilvl w:val="0"/>
          <w:numId w:val="1004"/>
        </w:numPr>
        <w:pStyle w:val="Compact"/>
      </w:pPr>
      <w:r>
        <w:t>მიიღეთ კლინიკური გადაწყვეტილებები კლინიკური საფუძვლით და აღრიცხეთ ისინი კლინიცისტის სახელით.</w:t>
      </w:r>
    </w:p>
    <w:p>
      <w:pPr>
        <w:pStyle w:val="FirstParagraph"/>
      </w:pPr>
      <w:r>
        <w:rPr>
          <w:bCs/>
          <w:b/>
        </w:rPr>
        <w:t>მთავარი: გადაწყვეტილია.</w:t>
      </w:r>
      <w:r/>
      <w:r/>
    </w:p>
    <w:p>
      <w:pPr>
        <w:pStyle w:val="BodyText"/>
      </w:pPr>
      <w:r>
        <w:t>ნაბიჯი 2. კონფიდენციალურობის დაცვა.</w:t>
      </w:r>
    </w:p>
    <w:p>
      <w:pPr>
        <w:numPr>
          <w:ilvl w:val="0"/>
          <w:numId w:val="1005"/>
        </w:numPr>
        <w:pStyle w:val="Compact"/>
      </w:pPr>
      <w:r>
        <w:t>ჩაატარეთ კონსულტაციები კონფიდენციალურად და სამედიცინო ჩანაწერები განაცალკევეთ საპატიმრო დოკუმენტებისგან.</w:t>
      </w:r>
    </w:p>
    <w:p>
      <w:pPr>
        <w:pStyle w:val="FirstParagraph"/>
      </w:pPr>
      <w:r>
        <w:rPr>
          <w:bCs/>
          <w:b/>
        </w:rPr>
        <w:t>მთავარი: დაცულია.</w:t>
      </w:r>
      <w:r/>
      <w:r/>
    </w:p>
    <w:p>
      <w:pPr>
        <w:pStyle w:val="BodyText"/>
      </w:pPr>
      <w:r>
        <w:t>ნაბიჯი 3. გაზიარება მხოლოდ საჭიროებისამებრ.</w:t>
      </w:r>
    </w:p>
    <w:p>
      <w:pPr>
        <w:numPr>
          <w:ilvl w:val="0"/>
          <w:numId w:val="1006"/>
        </w:numPr>
        <w:pStyle w:val="Compact"/>
      </w:pPr>
      <w:r>
        <w:t>ინფორმაცია საპატიმროს თანამშრომლებს მხოლოდ უსაფრთხოების მიზნით გაუზიარეთ, და მხოლოდ საჭირო მინიმუმით.</w:t>
      </w:r>
    </w:p>
    <w:p>
      <w:pPr>
        <w:pStyle w:val="FirstParagraph"/>
      </w:pPr>
      <w:r>
        <w:rPr>
          <w:bCs/>
          <w:b/>
        </w:rPr>
        <w:t>მთავარი: გაზიარებულია.</w:t>
      </w:r>
      <w:r/>
      <w:r/>
    </w:p>
    <w:bookmarkEnd w:id="32"/>
    <w:bookmarkStart w:id="33" w:name="decision-points"/>
    <w:p>
      <w:pPr>
        <w:pStyle w:val="Heading2"/>
      </w:pPr>
      <w:r>
        <w:t>10. გადაწყვეტილების წერტილები</w:t>
      </w:r>
    </w:p>
    <w:p>
      <w:pPr>
        <w:numPr>
          <w:ilvl w:val="0"/>
          <w:numId w:val="1007"/>
        </w:numPr>
        <w:pStyle w:val="Compact"/>
      </w:pPr>
      <w:r>
        <w:t>ამ პროცედურაში გადაწყვეტილების წერტილები არ არის.</w:t>
      </w:r>
    </w:p>
    <w:bookmarkEnd w:id="33"/>
    <w:bookmarkStart w:id="34" w:name="special-situations"/>
    <w:p>
      <w:pPr>
        <w:pStyle w:val="Heading2"/>
      </w:pPr>
      <w:r>
        <w:t>11. განსაკუთრებული სიტუაციები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სიტუაცია</w:t>
            </w:r>
          </w:p>
        </w:tc>
        <w:tc>
          <w:tcPr/>
          <w:p>
            <w:pPr>
              <w:pStyle w:val="Compact"/>
              <w:jc w:val="left"/>
            </w:pPr>
            <w:r>
              <w:t>მოქმედება</w:t>
            </w:r>
          </w:p>
        </w:tc>
      </w:tr>
      <w:tr>
        <w:tc>
          <w:tcPr/>
          <w:p>
            <w:pPr>
              <w:pStyle w:val="Compact"/>
              <w:jc w:val="left"/>
            </w:pPr>
            <w:r>
              <w:t>არასამუშაო საათები</w:t>
            </w:r>
          </w:p>
        </w:tc>
        <w:tc>
          <w:tcPr/>
          <w:p>
            <w:pPr>
              <w:pStyle w:val="Compact"/>
              <w:jc w:val="left"/>
            </w:pPr>
            <w:r>
              <w:t>მიჰყევით იგივე ნაბიჯებს. გამოიყენეთ უბნის კედელზე მითითებული მორიგე საკონტაქტო ინფორმაცია.</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4"/>
    <w:bookmarkStart w:id="35" w:name="escalation"/>
    <w:p>
      <w:pPr>
        <w:pStyle w:val="Heading2"/>
      </w:pPr>
      <w:r>
        <w:t>12. ესკალაცია</w:t>
      </w:r>
    </w:p>
    <w:p>
      <w:pPr>
        <w:numPr>
          <w:ilvl w:val="0"/>
          <w:numId w:val="1008"/>
        </w:numPr>
        <w:pStyle w:val="Compact"/>
      </w:pPr>
      <w:r>
        <w:t>ყოველი სერიოზული პრობლემა დაუყოვნებლივ გადაეცემა მორიგე კლინიკურ ხელმძღვანელს, ხოლო იმავე დღეს — კლინიკურ დირექტორს.</w:t>
      </w:r>
    </w:p>
    <w:bookmarkEnd w:id="35"/>
    <w:bookmarkStart w:id="36" w:name="monitoring"/>
    <w:p>
      <w:pPr>
        <w:pStyle w:val="Heading2"/>
      </w:pPr>
      <w:r>
        <w:t>13. მონიტორინგი</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მაჩვენებელი</w:t>
            </w:r>
          </w:p>
        </w:tc>
        <w:tc>
          <w:tcPr/>
          <w:p>
            <w:pPr>
              <w:pStyle w:val="Compact"/>
              <w:jc w:val="left"/>
            </w:pPr>
            <w:r>
              <w:t>სამიზნე</w:t>
            </w:r>
          </w:p>
        </w:tc>
        <w:tc>
          <w:tcPr/>
          <w:p>
            <w:pPr>
              <w:pStyle w:val="Compact"/>
              <w:jc w:val="left"/>
            </w:pPr>
            <w:r>
              <w:t>სიხშირე</w:t>
            </w:r>
          </w:p>
        </w:tc>
        <w:tc>
          <w:tcPr/>
          <w:p>
            <w:pPr>
              <w:pStyle w:val="Compact"/>
              <w:jc w:val="left"/>
            </w:pPr>
            <w:r>
              <w:t>პასუხისმგებელი</w:t>
            </w:r>
          </w:p>
        </w:tc>
        <w:tc>
          <w:tcPr/>
          <w:p>
            <w:pPr>
              <w:pStyle w:val="Compact"/>
              <w:jc w:val="left"/>
            </w:pPr>
            <w:r>
              <w:t>თუ არ შესრულდა</w:t>
            </w:r>
          </w:p>
        </w:tc>
      </w:tr>
      <w:tr>
        <w:tc>
          <w:tcPr/>
          <w:p>
            <w:pPr>
              <w:pStyle w:val="Compact"/>
              <w:jc w:val="left"/>
            </w:pPr>
            <w:r>
              <w:t>კლინიკურ გადაწყვეტილებებს იღებენ ჯანდაცვის სპეციალისტები</w:t>
            </w:r>
          </w:p>
        </w:tc>
        <w:tc>
          <w:tcPr/>
          <w:p>
            <w:pPr>
              <w:pStyle w:val="Compact"/>
              <w:jc w:val="left"/>
            </w:pPr>
            <w:r>
              <w:t>100%</w:t>
            </w:r>
          </w:p>
        </w:tc>
        <w:tc>
          <w:tcPr/>
          <w:p>
            <w:pPr>
              <w:pStyle w:val="Compact"/>
              <w:jc w:val="left"/>
            </w:pPr>
            <w:r>
              <w:t>ყოველკვარტალურად</w:t>
            </w:r>
          </w:p>
        </w:tc>
        <w:tc>
          <w:tcPr/>
          <w:p>
            <w:pPr>
              <w:pStyle w:val="Compact"/>
              <w:jc w:val="left"/>
            </w:pPr>
            <w:r>
              <w:t>კლინიკური ხელმძღვანელი</w:t>
            </w:r>
          </w:p>
        </w:tc>
        <w:tc>
          <w:tcPr/>
          <w:p>
            <w:pPr>
              <w:pStyle w:val="Compact"/>
              <w:jc w:val="left"/>
            </w:pPr>
            <w:r>
              <w:t>გადაეცით ჯანდაცვის ორგანოს</w:t>
            </w:r>
          </w:p>
        </w:tc>
      </w:tr>
      <w:tr>
        <w:tc>
          <w:tcPr/>
          <w:p>
            <w:pPr>
              <w:pStyle w:val="Compact"/>
              <w:jc w:val="left"/>
            </w:pPr>
            <w:r>
              <w:t>კონსულტაციები კონფიდენციალურია ან ჩანაწერით დასაბუთებული უსაფრთხოების მიზეზით</w:t>
            </w:r>
          </w:p>
        </w:tc>
        <w:tc>
          <w:tcPr/>
          <w:p>
            <w:pPr>
              <w:pStyle w:val="Compact"/>
              <w:jc w:val="left"/>
            </w:pPr>
            <w:r>
              <w:t>100%</w:t>
            </w:r>
          </w:p>
        </w:tc>
        <w:tc>
          <w:tcPr/>
          <w:p>
            <w:pPr>
              <w:pStyle w:val="Compact"/>
              <w:jc w:val="left"/>
            </w:pPr>
            <w:r>
              <w:t>ყოველკვარტალურად</w:t>
            </w:r>
          </w:p>
        </w:tc>
        <w:tc>
          <w:tcPr/>
          <w:p>
            <w:pPr>
              <w:pStyle w:val="Compact"/>
              <w:jc w:val="left"/>
            </w:pPr>
            <w:r>
              <w:t>კლინიკური ხელმძღვანელი</w:t>
            </w:r>
          </w:p>
        </w:tc>
        <w:tc>
          <w:tcPr/>
          <w:p>
            <w:pPr>
              <w:pStyle w:val="Compact"/>
              <w:jc w:val="left"/>
            </w:pPr>
            <w:r>
              <w:t>გადასინჯეთ საპატიმრო პროცედურა</w:t>
            </w: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bl>
    <w:bookmarkEnd w:id="36"/>
    <w:bookmarkStart w:id="37" w:name="records"/>
    <w:p>
      <w:pPr>
        <w:pStyle w:val="Heading2"/>
      </w:pPr>
      <w:r>
        <w:t>14. ჩანაწერები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ჩანაწერი</w:t>
            </w:r>
          </w:p>
        </w:tc>
        <w:tc>
          <w:tcPr/>
          <w:p>
            <w:pPr>
              <w:pStyle w:val="Compact"/>
              <w:jc w:val="left"/>
            </w:pPr>
            <w:r>
              <w:t>ინახება</w:t>
            </w:r>
          </w:p>
        </w:tc>
        <w:tc>
          <w:tcPr/>
          <w:p>
            <w:pPr>
              <w:pStyle w:val="Compact"/>
              <w:jc w:val="left"/>
            </w:pPr>
            <w:r>
              <w:t>შენახვის ვადა</w:t>
            </w:r>
          </w:p>
        </w:tc>
      </w:tr>
      <w:tr>
        <w:tc>
          <w:tcPr/>
          <w:p>
            <w:pPr>
              <w:pStyle w:val="Compact"/>
              <w:jc w:val="left"/>
            </w:pPr>
            <w:r>
              <w:t>ამ დოკუმენტში მითითებული ჩანაწერი</w:t>
            </w:r>
          </w:p>
        </w:tc>
        <w:tc>
          <w:tcPr/>
          <w:p>
            <w:pPr>
              <w:pStyle w:val="Compact"/>
              <w:jc w:val="left"/>
            </w:pPr>
            <w:r>
              <w:t>პაციენტის ისტორია ან უბნის საქმე</w:t>
            </w:r>
          </w:p>
        </w:tc>
        <w:tc>
          <w:tcPr/>
          <w:p>
            <w:pPr>
              <w:pStyle w:val="Compact"/>
              <w:jc w:val="left"/>
            </w:pPr>
            <w:r>
              <w:t>დაწესებულების ჩანაწერების პოლიტიკით დადგენილი პერიოდი, წლები</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bookmarkEnd w:id="37"/>
    <w:bookmarkStart w:id="38" w:name="training"/>
    <w:p>
      <w:pPr>
        <w:pStyle w:val="Heading2"/>
      </w:pPr>
      <w:r>
        <w:t>15. ტრენინგი</w:t>
      </w:r>
    </w:p>
    <w:p>
      <w:pPr>
        <w:numPr>
          <w:ilvl w:val="0"/>
          <w:numId w:val="1009"/>
        </w:numPr>
        <w:pStyle w:val="Compact"/>
      </w:pPr>
      <w:r>
        <w:t>პერსონალი ამ დოკუმენტში ივარჯიშებს ჩართვისას და ყოველ წელს განახლდება, დაფიქსირებული კომპეტენციის შემოწმებით.</w:t>
      </w:r>
    </w:p>
    <w:bookmarkEnd w:id="38"/>
    <w:bookmarkStart w:id="41" w:name="related-documents"/>
    <w:p>
      <w:pPr>
        <w:pStyle w:val="Heading2"/>
      </w:pPr>
      <w:r>
        <w:t>16. დაკავშირებული დოკუმენტები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ID</w:t>
            </w:r>
          </w:p>
        </w:tc>
        <w:tc>
          <w:tcPr/>
          <w:p>
            <w:pPr>
              <w:pStyle w:val="Compact"/>
              <w:jc w:val="left"/>
            </w:pPr>
            <w:r>
              <w:t>სათაური</w:t>
            </w:r>
          </w:p>
        </w:tc>
        <w:tc>
          <w:tcPr/>
          <w:p>
            <w:pPr>
              <w:pStyle w:val="Compact"/>
              <w:jc w:val="left"/>
            </w:pPr>
            <w:r>
              <w:t>გამოყენება</w:t>
            </w:r>
          </w:p>
        </w:tc>
      </w:tr>
      <w:tr>
        <w:tc>
          <w:tcPr/>
          <w:p>
            <w:pPr>
              <w:pStyle w:val="Compact"/>
              <w:jc w:val="left"/>
            </w:pPr>
            <w:hyperlink r:id="rId39">
              <w:r>
                <w:rPr>
                  <w:rStyle w:val="Hyperlink"/>
                </w:rPr>
                <w:t xml:space="preserve">PNT-FRM-001</w:t>
              </w:r>
            </w:hyperlink>
          </w:p>
        </w:tc>
        <w:tc>
          <w:tcPr/>
          <w:p>
            <w:pPr>
              <w:pStyle w:val="Compact"/>
              <w:jc w:val="left"/>
            </w:pPr>
            <w:r>
              <w:t>მიმღებში ჯანდაცვითი სკრინინგის ჩანაწერი</w:t>
            </w:r>
          </w:p>
        </w:tc>
        <w:tc>
          <w:tcPr/>
          <w:p>
            <w:pPr>
              <w:pStyle w:val="Compact"/>
              <w:jc w:val="left"/>
            </w:pPr>
            <w:r>
              <w:t>ჩანაწერი</w:t>
            </w:r>
          </w:p>
        </w:tc>
      </w:tr>
      <w:tr>
        <w:tc>
          <w:tcPr/>
          <w:p>
            <w:pPr>
              <w:pStyle w:val="Compact"/>
              <w:jc w:val="left"/>
            </w:pPr>
            <w:hyperlink r:id="rId40">
              <w:r>
                <w:rPr>
                  <w:rStyle w:val="Hyperlink"/>
                </w:rPr>
                <w:t xml:space="preserve">DIG-POL-001</w:t>
              </w:r>
            </w:hyperlink>
          </w:p>
        </w:tc>
        <w:tc>
          <w:tcPr/>
          <w:p>
            <w:pPr>
              <w:pStyle w:val="Compact"/>
              <w:jc w:val="left"/>
            </w:pPr>
            <w:r>
              <w:t>ინფორმაციის უსაფრთხოება და წვდომის კონტროლი (არსებული, ხელახლა გამოყენებული)</w:t>
            </w:r>
          </w:p>
        </w:tc>
        <w:tc>
          <w:tcPr/>
          <w:p>
            <w:pPr>
              <w:pStyle w:val="Compact"/>
              <w:jc w:val="left"/>
            </w:pPr>
            <w:r>
              <w:t>პოლიტიკა</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bookmarkEnd w:id="41"/>
    <w:bookmarkStart w:id="42" w:name="evidence"/>
    <w:p>
      <w:pPr>
        <w:pStyle w:val="Heading2"/>
      </w:pPr>
      <w:r>
        <w:t>17. მტკიცებულებები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მითითება</w:t>
            </w:r>
          </w:p>
        </w:tc>
        <w:tc>
          <w:tcPr/>
          <w:p>
            <w:pPr>
              <w:pStyle w:val="Compact"/>
              <w:jc w:val="left"/>
            </w:pPr>
            <w:r>
              <w:t>შენიშვნა</w:t>
            </w:r>
          </w:p>
        </w:tc>
      </w:tr>
      <w:tr>
        <w:tc>
          <w:tcPr/>
          <w:p>
            <w:pPr>
              <w:pStyle w:val="Compact"/>
              <w:jc w:val="left"/>
            </w:pPr>
            <w:r>
              <w:t>E-006</w:t>
            </w:r>
          </w:p>
        </w:tc>
        <w:tc>
          <w:tcPr/>
          <w:p>
            <w:pPr>
              <w:pStyle w:val="Compact"/>
              <w:jc w:val="left"/>
            </w:pPr>
            <w:r>
              <w:t>ASF Policy Framework v1.2. Adapted.</w:t>
            </w:r>
          </w:p>
        </w:tc>
      </w:tr>
      <w:tr>
        <w:tc>
          <w:tcPr/>
          <w:p>
            <w:pPr>
              <w:pStyle w:val="Compact"/>
              <w:jc w:val="left"/>
            </w:pPr>
            <w:r>
              <w:t>E-009</w:t>
            </w:r>
          </w:p>
        </w:tc>
        <w:tc>
          <w:tcPr/>
          <w:p>
            <w:pPr>
              <w:pStyle w:val="Compact"/>
              <w:jc w:val="left"/>
            </w:pPr>
            <w:r>
              <w:t>ASF Expert Committee consensus.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42"/>
    <w:bookmarkStart w:id="43" w:name="change-history"/>
    <w:p>
      <w:pPr>
        <w:pStyle w:val="Heading2"/>
      </w:pPr>
      <w:r>
        <w:t>18. ცვლილებების ისტორია</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ვერსია</w:t>
            </w:r>
          </w:p>
        </w:tc>
        <w:tc>
          <w:tcPr/>
          <w:p>
            <w:pPr>
              <w:pStyle w:val="Compact"/>
              <w:jc w:val="left"/>
            </w:pPr>
            <w:r>
              <w:t>თარიღი</w:t>
            </w:r>
          </w:p>
        </w:tc>
        <w:tc>
          <w:tcPr/>
          <w:p>
            <w:pPr>
              <w:pStyle w:val="Compact"/>
              <w:jc w:val="left"/>
            </w:pPr>
            <w:r>
              <w:t>რა შეიცვალა</w:t>
            </w:r>
          </w:p>
        </w:tc>
        <w:tc>
          <w:tcPr/>
          <w:p>
            <w:pPr>
              <w:pStyle w:val="Compact"/>
              <w:jc w:val="left"/>
            </w:pPr>
            <w:r>
              <w:t>დამტკიცება</w:t>
            </w:r>
          </w:p>
        </w:tc>
      </w:tr>
      <w:tr>
        <w:tc>
          <w:tcPr/>
          <w:p>
            <w:pPr>
              <w:pStyle w:val="Compact"/>
              <w:jc w:val="left"/>
            </w:pPr>
            <w:r>
              <w:t>1.0</w:t>
            </w:r>
          </w:p>
        </w:tc>
        <w:tc>
          <w:tcPr/>
          <w:p>
            <w:pPr>
              <w:pStyle w:val="Compact"/>
              <w:jc w:val="left"/>
            </w:pPr>
            <w:r>
              <w:t>დამტკიცების თარიღი</w:t>
            </w:r>
          </w:p>
        </w:tc>
        <w:tc>
          <w:tcPr/>
          <w:p>
            <w:pPr>
              <w:pStyle w:val="Compact"/>
              <w:jc w:val="left"/>
            </w:pPr>
            <w:r>
              <w:t>პირველი ვერსია</w:t>
            </w:r>
          </w:p>
        </w:tc>
        <w:tc>
          <w:tcPr/>
          <w:p>
            <w:pPr>
              <w:pStyle w:val="Compact"/>
              <w:jc w:val="left"/>
            </w:pPr>
            <w:r>
              <w:t>დამტკიცებულია ექსპერტთა კომიტეტის მიერ</w:t>
            </w: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bl>
    <w:bookmarkEnd w:id="43"/>
    <w:bookmarkStart w:id="45" w:name="references"/>
    <w:p>
      <w:pPr>
        <w:pStyle w:val="Heading2"/>
      </w:pPr>
      <w:r>
        <w:t>წყაროები</w:t>
      </w:r>
    </w:p>
    <w:p>
      <w:pPr>
        <w:numPr>
          <w:ilvl w:val="0"/>
          <w:numId w:val="1010"/>
        </w:numPr>
        <w:pStyle w:val="Compact"/>
      </w:pPr>
      <w:r>
        <w:t>Accréditation Sans Frontières (2026). ASF Policy Framework v1.2. (E-006)</w:t>
      </w:r>
      <w:r/>
      <w:r/>
    </w:p>
    <w:p>
      <w:pPr>
        <w:numPr>
          <w:ilvl w:val="0"/>
          <w:numId w:val="1010"/>
        </w:numPr>
        <w:pStyle w:val="Compact"/>
      </w:pPr>
      <w:r>
        <w:t>Accréditation Sans Frontières (2026). ASF Expert Committee consensus on Standard 1. (E-009)</w:t>
      </w:r>
      <w:r/>
      <w:r/>
    </w:p>
    <w:p>
      <w:pPr>
        <w:pStyle w:val="FirstParagraph"/>
      </w:pPr>
      <w:hyperlink r:id="rId44">
        <w:r>
          <w:rPr>
            <w:rStyle w:val="Hyperlink"/>
          </w:rPr>
          <w:t xml:space="preserve">Download this document as PDF</w:t>
        </w:r>
      </w:hyperlink>
    </w:p>
    <w:bookmarkEnd w:id="45"/>
    <w:sectPr>
      <w:headerReference w:type="default" r:id="rId9"/>
      <w:footerReference w:type="default" r:id="rId10"/>
      <w:pgSz w:w="11906" w:h="16838"/>
      <w:pgMar w:left="794" w:right="794" w:top="794" w:bottom="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0" Type="http://schemas.openxmlformats.org/officeDocument/2006/relationships/hyperlink" Target="/documents/dig-pol-001/" TargetMode="External"/><Relationship Id="rId39" Type="http://schemas.openxmlformats.org/officeDocument/2006/relationships/hyperlink" Target="/documents/pnt-frm-001/" TargetMode="External"/><Relationship Id="rId22" Type="http://schemas.openxmlformats.org/officeDocument/2006/relationships/hyperlink" Target="/resources/policies/" TargetMode="External"/><Relationship Id="rId20" Type="http://schemas.openxmlformats.org/officeDocument/2006/relationships/hyperlink" Target="/standards/" TargetMode="External"/><Relationship Id="rId21" Type="http://schemas.openxmlformats.org/officeDocument/2006/relationships/hyperlink" Target="/standards/standard-62/" TargetMode="External"/><Relationship Id="rId23" Type="http://schemas.openxmlformats.org/officeDocument/2006/relationships/hyperlink" Target="/standards/standard-62/#c62-2" TargetMode="External"/><Relationship Id="rId44" Type="http://schemas.openxmlformats.org/officeDocument/2006/relationships/hyperlink" Target="https://france-asf.fr/wp-content/uploads/2026/10/pnt-pol-001.pdf"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40" Type="http://schemas.openxmlformats.org/officeDocument/2006/relationships/hyperlink" Target="/documents/dig-pol-001/" TargetMode="External"/><Relationship Id="rId39" Type="http://schemas.openxmlformats.org/officeDocument/2006/relationships/hyperlink" Target="/documents/pnt-frm-001/" TargetMode="External"/><Relationship Id="rId22" Type="http://schemas.openxmlformats.org/officeDocument/2006/relationships/hyperlink" Target="/resources/policies/" TargetMode="External"/><Relationship Id="rId20" Type="http://schemas.openxmlformats.org/officeDocument/2006/relationships/hyperlink" Target="/standards/" TargetMode="External"/><Relationship Id="rId21" Type="http://schemas.openxmlformats.org/officeDocument/2006/relationships/hyperlink" Target="/standards/standard-62/" TargetMode="External"/><Relationship Id="rId23" Type="http://schemas.openxmlformats.org/officeDocument/2006/relationships/hyperlink" Target="/standards/standard-62/#c62-2" TargetMode="External"/><Relationship Id="rId44" Type="http://schemas.openxmlformats.org/officeDocument/2006/relationships/hyperlink" Target="https://france-asf.fr/wp-content/uploads/2026/10/pnt-pol-0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PNT-POL-001: Equivalence of care, confidentiality and independence of clinical decisions in custody</dc:title>
  <dc:creator/>
  <cp:keywords/>
  <dcterms:created xsi:type="dcterms:W3CDTF">2026-10-28T21:32:50Z</dcterms:created>
  <dcterms:modified xsi:type="dcterms:W3CDTF">2026-10-28T21:32:50Z</dcterms:modified>
</cp:coreProperties>
</file>

<file path=docProps/custom.xml><?xml version="1.0" encoding="utf-8"?>
<Properties xmlns="http://schemas.openxmlformats.org/officeDocument/2006/custom-properties" xmlns:vt="http://schemas.openxmlformats.org/officeDocument/2006/docPropsVTypes"/>
</file>