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PNT-SOP-001: მიღების ჯანმრთელობის სკრინინგი და სამედიცინო გამოკვლევა</w:t>
      </w:r>
      <w:r/>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სტანდარტული საოპერაციო პროცედურა</w:t>
            </w:r>
          </w:p>
          <w:p>
            <w:pPr>
              <w:pStyle w:val="Compact"/>
              <w:jc w:val="left"/>
            </w:pPr>
            <w:r>
              <w:t>მიღების ჯანმრთელობის სკრინინგი და სამედიცინო გამოკვლევა</w:t>
            </w:r>
          </w:p>
        </w:tc>
        <w:tc>
          <w:tcPr/>
          <w:p>
            <w:pPr>
              <w:pStyle w:val="Compact"/>
            </w:pPr>
          </w:p>
        </w:tc>
      </w:tr>
      <w:tr>
        <w:tc>
          <w:tcPr/>
          <w:p>
            <w:pPr>
              <w:pStyle w:val="Compact"/>
              <w:jc w:val="left"/>
            </w:pPr>
            <w:r>
              <w:t>დოკუმენტის ID</w:t>
            </w:r>
          </w:p>
        </w:tc>
        <w:tc>
          <w:tcPr/>
          <w:p>
            <w:pPr>
              <w:pStyle w:val="Compact"/>
              <w:jc w:val="left"/>
            </w:pPr>
            <w:r>
              <w:t xml:space="preserve">PNT-SOP-001</w:t>
            </w:r>
          </w:p>
        </w:tc>
        <w:tc>
          <w:tcPr/>
          <w:p>
            <w:pPr>
              <w:pStyle w:val="Compact"/>
              <w:jc w:val="left"/>
            </w:pPr>
            <w:r>
              <w:t>ვერსია</w:t>
            </w:r>
          </w:p>
        </w:tc>
        <w:tc>
          <w:tcPr/>
          <w:p>
            <w:pPr>
              <w:pStyle w:val="Compact"/>
              <w:jc w:val="left"/>
            </w:pPr>
            <w:r>
              <w:t xml:space="preserve">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w:t>
      </w:r>
      <w:r>
        <w:t xml:space="preserve">›</w:t>
      </w:r>
      <w:r>
        <w:t xml:space="preserve"> </w:t>
      </w:r>
      <w:hyperlink r:id="rId21">
        <w:r>
          <w:rPr>
            <w:rStyle w:val="Hyperlink"/>
          </w:rPr>
          <w:t xml:space="preserve">Standard 62</w:t>
        </w:r>
      </w:hyperlink>
      <w:r>
        <w:t xml:space="preserve"> </w:t>
      </w:r>
      <w:r>
        <w:t xml:space="preserve">›</w:t>
      </w:r>
      <w:r>
        <w:t xml:space="preserve"> </w:t>
      </w:r>
      <w:hyperlink r:id="rId22">
        <w:r>
          <w:rPr>
            <w:rStyle w:val="Hyperlink"/>
          </w:rPr>
          <w:t xml:space="preserve">Standard operating procedures (SOPs)</w:t>
        </w:r>
      </w:hyperlink>
    </w:p>
    <w:p>
      <w:pPr>
        <w:pStyle w:val="BodyText"/>
      </w:pPr>
      <w:r>
        <w:t>სტანდარტული ოპერაციული პროცედურა · PNT-SOP-001 · ვერსია 1.0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62.1</w:t>
        </w:r>
      </w:hyperlink>
    </w:p>
    <w:p>
      <w:pPr>
        <w:pStyle w:val="BodyText"/>
      </w:pPr>
      <w:r>
        <w:t>მოკლედ</w:t>
      </w:r>
    </w:p>
    <w:p>
      <w:pPr>
        <w:numPr>
          <w:ilvl w:val="0"/>
          <w:numId w:val="1001"/>
        </w:numPr>
        <w:pStyle w:val="Compact"/>
      </w:pPr>
      <w:r>
        <w:t>ყოველ დაპატიმრებულ პირს მიღების დღესვე უტარდება ჯანმრთელობის სკრინინგი (PNT-FRM-001).</w:t>
      </w:r>
    </w:p>
    <w:p>
      <w:pPr>
        <w:numPr>
          <w:ilvl w:val="0"/>
          <w:numId w:val="1001"/>
        </w:numPr>
        <w:pStyle w:val="Compact"/>
      </w:pPr>
      <w:r>
        <w:t>სრული სამედიცინო გამოკვლევა ტარდება 24 საათში დასახელებული ექიმის მიერ.</w:t>
      </w:r>
    </w:p>
    <w:p>
      <w:pPr>
        <w:numPr>
          <w:ilvl w:val="0"/>
          <w:numId w:val="1001"/>
        </w:numPr>
        <w:pStyle w:val="Compact"/>
      </w:pPr>
      <w:r>
        <w:t>თითოეულ დადებით შედეგს აქვს დოკუმენტირებული გეგმა და დასახელებული ექიმი.</w:t>
      </w:r>
    </w:p>
    <w:p>
      <w:pPr>
        <w:numPr>
          <w:ilvl w:val="0"/>
          <w:numId w:val="1001"/>
        </w:numPr>
        <w:pStyle w:val="Compact"/>
      </w:pPr>
      <w:r>
        <w:t>თვითმკვლელობისა და თვითდაზიანების რისკი მიღებისას მოწმდება (PSY-SOP-001).</w:t>
      </w:r>
    </w:p>
    <w:p>
      <w:pPr>
        <w:numPr>
          <w:ilvl w:val="0"/>
          <w:numId w:val="1001"/>
        </w:numPr>
        <w:pStyle w:val="Compact"/>
      </w:pPr>
      <w:r>
        <w:t>შეაჩერეთ და დაუყოვნებლივ მოიძიეთ დახმარება, თუ: დაპატიმრებული პირი მიღების ჯანმრთელობის სკრინინგის გარეშეა, ან დადებით შედეგს გეგმა არ აქვს.</w:t>
      </w:r>
    </w:p>
    <w:bookmarkStart w:id="24" w:name="purpose"/>
    <w:p>
      <w:pPr>
        <w:pStyle w:val="Heading2"/>
      </w:pPr>
      <w:r>
        <w:t>1. მიზანი</w:t>
      </w:r>
    </w:p>
    <w:p>
      <w:pPr>
        <w:pStyle w:val="FirstParagraph"/>
      </w:pPr>
      <w:r>
        <w:t>ჯანმრთელობის საჭიროებების, ინფექციის რისკისა და თვითმკვლელობის რისკის რაც შეიძლება ადრე გამოვლენა მიღების შემდეგ (62.1).</w:t>
      </w:r>
    </w:p>
    <w:bookmarkEnd w:id="24"/>
    <w:bookmarkStart w:id="25" w:name="scope"/>
    <w:p>
      <w:pPr>
        <w:pStyle w:val="Heading2"/>
      </w:pPr>
      <w:r>
        <w:t>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ვრცელდება</w:t>
            </w:r>
          </w:p>
        </w:tc>
        <w:tc>
          <w:tcPr/>
          <w:p>
            <w:pPr>
              <w:pStyle w:val="Compact"/>
              <w:jc w:val="left"/>
            </w:pPr>
            <w:r>
              <w:t>საავადმყოფოს კლინიკური და დამხმარე პერსონალი</w:t>
            </w:r>
          </w:p>
        </w:tc>
      </w:tr>
      <w:tr>
        <w:tc>
          <w:tcPr/>
          <w:p>
            <w:pPr>
              <w:pStyle w:val="Compact"/>
              <w:jc w:val="left"/>
            </w:pPr>
            <w:r>
              <w:t>ადგილები</w:t>
            </w:r>
          </w:p>
        </w:tc>
        <w:tc>
          <w:tcPr/>
          <w:p>
            <w:pPr>
              <w:pStyle w:val="Compact"/>
              <w:jc w:val="left"/>
            </w:pPr>
            <w:r>
              <w:t>დაწესებულების ყველა პალატა, კლინიკა და განყოფილება</w:t>
            </w:r>
          </w:p>
        </w:tc>
      </w:tr>
      <w:tr>
        <w:tc>
          <w:tcPr/>
          <w:p>
            <w:pPr>
              <w:pStyle w:val="Compact"/>
              <w:jc w:val="left"/>
            </w:pPr>
            <w:r>
              <w:t>როდის</w:t>
            </w:r>
          </w:p>
        </w:tc>
        <w:tc>
          <w:tcPr/>
          <w:p>
            <w:pPr>
              <w:pStyle w:val="Compact"/>
              <w:jc w:val="left"/>
            </w:pPr>
            <w:r>
              <w:t>ყოველთვის, როცა სრულდება აღწერილი საქმიანობა</w:t>
            </w:r>
          </w:p>
        </w:tc>
      </w:tr>
      <w:tr>
        <w:tc>
          <w:tcPr/>
          <w:p>
            <w:pPr>
              <w:pStyle w:val="Compact"/>
              <w:jc w:val="left"/>
            </w:pPr>
            <w:r>
              <w:t>არ ვრცელდება</w:t>
            </w:r>
          </w:p>
        </w:tc>
        <w:tc>
          <w:tcPr/>
          <w:p>
            <w:pPr>
              <w:pStyle w:val="Compact"/>
              <w:jc w:val="left"/>
            </w:pPr>
            <w:r>
              <w:t>საქმიანობა, რომელსაც მოიცავს სხვა დოკუმენტი, ჩამოთვლილი მე-15 განყოფილებაში</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კლინიკური ხელმძღვანელი</w:t>
            </w:r>
          </w:p>
        </w:tc>
        <w:tc>
          <w:tcPr/>
          <w:p>
            <w:pPr>
              <w:pStyle w:val="Compact"/>
              <w:jc w:val="left"/>
            </w:pPr>
            <w:r>
              <w:t>ექიმი ან ექთანი, რომელიც ამ დროს უძღვება უბანს</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4. საფუძვლები</w:t>
      </w:r>
    </w:p>
    <w:p>
      <w:pPr>
        <w:pStyle w:val="FirstParagraph"/>
      </w:pPr>
      <w:r>
        <w:t>დაპატიმრებულ პირებში ინფექციური დაავადებების, ფსიქიკური დაავადებების, ნივთიერებების მოხმარებისა და დაზიანების მაჩვენებელი მოსახლეობის საერთო მაჩვენებელზე მაღალია. The Nelson Mandela Rules (2015, Rule 30) მიღებისას სამედიცინო გამოკვლევას მოითხოვს, ხოლო WHO Prisons and Health (2014) რეკომენდაციას უწევს სისტემატურ მიღების სკრინინგს, რათა საჭიროებები ადრე გამოვლინდეს.</w:t>
      </w:r>
    </w:p>
    <w:bookmarkEnd w:id="27"/>
    <w:bookmarkStart w:id="28" w:name="responsibilities"/>
    <w:p>
      <w:pPr>
        <w:pStyle w:val="Heading2"/>
      </w:pPr>
      <w:r>
        <w:t>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როლი</w:t>
            </w:r>
          </w:p>
        </w:tc>
        <w:tc>
          <w:tcPr/>
          <w:p>
            <w:pPr>
              <w:pStyle w:val="Compact"/>
              <w:jc w:val="left"/>
            </w:pPr>
            <w:r>
              <w:t>პასუხისმგებლობა</w:t>
            </w:r>
          </w:p>
        </w:tc>
        <w:tc>
          <w:tcPr/>
          <w:p>
            <w:pPr>
              <w:pStyle w:val="Compact"/>
              <w:jc w:val="left"/>
            </w:pPr>
            <w:r>
              <w:t>კომპეტენცია</w:t>
            </w:r>
          </w:p>
        </w:tc>
      </w:tr>
      <w:tr>
        <w:tc>
          <w:tcPr/>
          <w:p>
            <w:pPr>
              <w:pStyle w:val="Compact"/>
              <w:jc w:val="left"/>
            </w:pPr>
            <w:r>
              <w:t>ექიმი დაპატიმრების ადგილას</w:t>
            </w:r>
          </w:p>
        </w:tc>
        <w:tc>
          <w:tcPr/>
          <w:p>
            <w:pPr>
              <w:pStyle w:val="Compact"/>
              <w:jc w:val="left"/>
            </w:pPr>
            <w:r>
              <w:t>ატარებს გამოკვლევას და ხელს აწერს გეგმას</w:t>
            </w:r>
          </w:p>
        </w:tc>
        <w:tc>
          <w:tcPr/>
          <w:p>
            <w:pPr>
              <w:pStyle w:val="Compact"/>
              <w:jc w:val="left"/>
            </w:pPr>
            <w:r>
              <w:t>კლინიკური ხელმძღვანელი</w:t>
            </w:r>
          </w:p>
        </w:tc>
      </w:tr>
      <w:tr>
        <w:tc>
          <w:tcPr/>
          <w:p>
            <w:pPr>
              <w:pStyle w:val="Compact"/>
              <w:jc w:val="left"/>
            </w:pPr>
            <w:r>
              <w:t>მედდა დაპატიმრების ადგილას</w:t>
            </w:r>
          </w:p>
        </w:tc>
        <w:tc>
          <w:tcPr/>
          <w:p>
            <w:pPr>
              <w:pStyle w:val="Compact"/>
              <w:jc w:val="left"/>
            </w:pPr>
            <w:r>
              <w:t>ავსებს სკრინინგის ჩანაწერს მიღების დღესვე</w:t>
            </w:r>
          </w:p>
        </w:tc>
        <w:tc>
          <w:tcPr/>
          <w:p>
            <w:pPr>
              <w:pStyle w:val="Compact"/>
              <w:jc w:val="left"/>
            </w:pPr>
            <w:r>
              <w:t>ექიმი დაპატიმრების ადგილას</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ერთეული</w:t>
            </w:r>
          </w:p>
        </w:tc>
        <w:tc>
          <w:tcPr/>
          <w:p>
            <w:pPr>
              <w:pStyle w:val="Compact"/>
              <w:jc w:val="left"/>
            </w:pPr>
            <w:r>
              <w:t>მოთხოვნა</w:t>
            </w:r>
          </w:p>
        </w:tc>
        <w:tc>
          <w:tcPr/>
          <w:p>
            <w:pPr>
              <w:pStyle w:val="Compact"/>
              <w:jc w:val="left"/>
            </w:pPr>
            <w:r>
              <w:t>მდგომარეობა</w:t>
            </w:r>
          </w:p>
        </w:tc>
      </w:tr>
      <w:tr>
        <w:tc>
          <w:tcPr/>
          <w:p>
            <w:pPr>
              <w:pStyle w:val="Compact"/>
              <w:jc w:val="left"/>
            </w:pPr>
            <w:r>
              <w:t>ამ დოკუმენტში მითითებული ჩანაწერები და ფორმები</w:t>
            </w:r>
          </w:p>
        </w:tc>
        <w:tc>
          <w:tcPr/>
          <w:p>
            <w:pPr>
              <w:pStyle w:val="Compact"/>
              <w:jc w:val="left"/>
            </w:pPr>
            <w:r>
              <w:t>მიმდინარე ვერსია</w:t>
            </w:r>
          </w:p>
        </w:tc>
        <w:tc>
          <w:tcPr/>
          <w:p>
            <w:pPr>
              <w:pStyle w:val="Compact"/>
              <w:jc w:val="left"/>
            </w:pPr>
            <w:r>
              <w:t>შემოწმებულია გამოყენებამდე</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7. უსაფრთხოება</w:t>
      </w:r>
    </w:p>
    <w:p>
      <w:pPr>
        <w:numPr>
          <w:ilvl w:val="0"/>
          <w:numId w:val="1002"/>
        </w:numPr>
        <w:pStyle w:val="Compact"/>
      </w:pPr>
      <w:r>
        <w:t>თუ პაციენტი პირდაპირ საფრთხის ქვეშაა, შეაჩერეთ საქმიანობა და გამოიძახეთ დახმარება. გადაუდებელი მოვლა არ გადადოთ დოკუმენტაციის შევსების გამო.</w:t>
      </w:r>
    </w:p>
    <w:bookmarkEnd w:id="30"/>
    <w:bookmarkStart w:id="31" w:name="before-you-start"/>
    <w:p>
      <w:pPr>
        <w:pStyle w:val="Heading2"/>
      </w:pPr>
      <w:r>
        <w:t>8. დაწყებამდე</w:t>
      </w:r>
    </w:p>
    <w:p>
      <w:pPr>
        <w:numPr>
          <w:ilvl w:val="0"/>
          <w:numId w:val="1003"/>
        </w:numPr>
        <w:pStyle w:val="Compact"/>
      </w:pPr>
      <w:r>
        <w:t>დარწმუნდით, რომ ამ დოკუმენტში მითითებული ფორმები და აღჭურვილობა ხელმისაწვდომია და მიმდინარეა.</w:t>
      </w:r>
    </w:p>
    <w:bookmarkEnd w:id="31"/>
    <w:bookmarkStart w:id="32" w:name="procedure"/>
    <w:p>
      <w:pPr>
        <w:pStyle w:val="Heading2"/>
      </w:pPr>
      <w:r>
        <w:t>9. პროცედურა</w:t>
      </w:r>
    </w:p>
    <w:p>
      <w:pPr>
        <w:pStyle w:val="FirstParagraph"/>
      </w:pPr>
      <w:r>
        <w:t>ნაბიჯი 1. შემოწმება.</w:t>
      </w:r>
    </w:p>
    <w:p>
      <w:pPr>
        <w:numPr>
          <w:ilvl w:val="0"/>
          <w:numId w:val="1004"/>
        </w:numPr>
        <w:pStyle w:val="Compact"/>
      </w:pPr>
      <w:r>
        <w:t>შეავსეთ სკრინინგის ჩანაწერი მიღების დღესვე (PNT-FRM-001).</w:t>
      </w:r>
    </w:p>
    <w:p>
      <w:pPr>
        <w:pStyle w:val="FirstParagraph"/>
      </w:pPr>
      <w:r>
        <w:rPr>
          <w:bCs/>
          <w:b/>
        </w:rPr>
        <w:t>მთავარი: შემოწმებულია.</w:t>
      </w:r>
      <w:r/>
      <w:r/>
    </w:p>
    <w:p>
      <w:pPr>
        <w:pStyle w:val="BodyText"/>
      </w:pPr>
      <w:r>
        <w:t>ნაბიჯი 2. გამოკვლევა.</w:t>
      </w:r>
    </w:p>
    <w:p>
      <w:pPr>
        <w:numPr>
          <w:ilvl w:val="0"/>
          <w:numId w:val="1005"/>
        </w:numPr>
        <w:pStyle w:val="Compact"/>
      </w:pPr>
      <w:r>
        <w:t>ჩაატარეთ სრული სამედიცინო გამოკვლევა 24 საათში და დაასახელეთ ექიმი.</w:t>
      </w:r>
    </w:p>
    <w:p>
      <w:pPr>
        <w:pStyle w:val="FirstParagraph"/>
      </w:pPr>
      <w:r>
        <w:rPr>
          <w:bCs/>
          <w:b/>
        </w:rPr>
        <w:t>მთავარი: გამოკვლეულია.</w:t>
      </w:r>
      <w:r/>
      <w:r/>
    </w:p>
    <w:p>
      <w:pPr>
        <w:pStyle w:val="BodyText"/>
      </w:pPr>
      <w:r>
        <w:t>ნაბიჯი 3. გეგმა.</w:t>
      </w:r>
    </w:p>
    <w:p>
      <w:pPr>
        <w:numPr>
          <w:ilvl w:val="0"/>
          <w:numId w:val="1006"/>
        </w:numPr>
        <w:pStyle w:val="Compact"/>
      </w:pPr>
      <w:r>
        <w:t>დაადოკუმენტირეთ გეგმა თითოეული დადებითი შედეგისთვის და საჭიროების შემთხვევაში სასწრაფოდ მიმართეთ.</w:t>
      </w:r>
    </w:p>
    <w:p>
      <w:pPr>
        <w:pStyle w:val="FirstParagraph"/>
      </w:pPr>
      <w:r>
        <w:rPr>
          <w:bCs/>
          <w:b/>
        </w:rPr>
        <w:t>მთავარი: გეგმა შედგენილია.</w:t>
      </w:r>
      <w:r/>
      <w:r/>
    </w:p>
    <w:bookmarkEnd w:id="32"/>
    <w:bookmarkStart w:id="33" w:name="decision-points"/>
    <w:p>
      <w:pPr>
        <w:pStyle w:val="Heading2"/>
      </w:pPr>
      <w:r>
        <w:t>10. გადაწყვეტილების წერტილები</w:t>
      </w:r>
    </w:p>
    <w:p>
      <w:pPr>
        <w:numPr>
          <w:ilvl w:val="0"/>
          <w:numId w:val="1007"/>
        </w:numPr>
        <w:pStyle w:val="Compact"/>
      </w:pPr>
      <w:r>
        <w:t>ამ პროცედურაში გადაწყვეტილების წერტილები არ არის.</w:t>
      </w:r>
    </w:p>
    <w:bookmarkEnd w:id="33"/>
    <w:bookmarkStart w:id="34" w:name="special-situations"/>
    <w:p>
      <w:pPr>
        <w:pStyle w:val="Heading2"/>
      </w:pPr>
      <w:r>
        <w:t>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მოქმედება</w:t>
            </w:r>
          </w:p>
        </w:tc>
      </w:tr>
      <w:tr>
        <w:tc>
          <w:tcPr/>
          <w:p>
            <w:pPr>
              <w:pStyle w:val="Compact"/>
              <w:jc w:val="left"/>
            </w:pPr>
            <w:r>
              <w:t>არასამუშაო საათები</w:t>
            </w:r>
          </w:p>
        </w:tc>
        <w:tc>
          <w:tcPr/>
          <w:p>
            <w:pPr>
              <w:pStyle w:val="Compact"/>
              <w:jc w:val="left"/>
            </w:pPr>
            <w:r>
              <w:t>მიჰყევით იგივე ნაბიჯებს. გამოიყენეთ უბნის კედელზე მითითებული მორიგე საკონტაქტო ინფორმაცია.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12. ესკალაცია</w:t>
      </w:r>
    </w:p>
    <w:p>
      <w:pPr>
        <w:numPr>
          <w:ilvl w:val="0"/>
          <w:numId w:val="1008"/>
        </w:numPr>
        <w:pStyle w:val="Compact"/>
      </w:pPr>
      <w:r>
        <w:t>ყოველი სერიოზული პრობლემა დაუყოვნებლივ გადაეცემა მორიგე კლინიკურ ხელმძღვანელს, ხოლო იმავე დღეს — კლინიკურ დირექტორს.</w:t>
      </w:r>
    </w:p>
    <w:bookmarkEnd w:id="35"/>
    <w:bookmarkStart w:id="36" w:name="monitoring"/>
    <w:p>
      <w:pPr>
        <w:pStyle w:val="Heading2"/>
      </w:pPr>
      <w:r>
        <w:t>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სამიზნე</w:t>
            </w:r>
          </w:p>
        </w:tc>
        <w:tc>
          <w:tcPr/>
          <w:p>
            <w:pPr>
              <w:pStyle w:val="Compact"/>
              <w:jc w:val="left"/>
            </w:pPr>
            <w:r>
              <w:t>სიხშირე</w:t>
            </w:r>
          </w:p>
        </w:tc>
        <w:tc>
          <w:tcPr/>
          <w:p>
            <w:pPr>
              <w:pStyle w:val="Compact"/>
              <w:jc w:val="left"/>
            </w:pPr>
            <w:r>
              <w:t>პასუხისმგებელი</w:t>
            </w:r>
          </w:p>
        </w:tc>
        <w:tc>
          <w:tcPr/>
          <w:p>
            <w:pPr>
              <w:pStyle w:val="Compact"/>
              <w:jc w:val="left"/>
            </w:pPr>
            <w:r>
              <w:t>თუ არ შესრულდა</w:t>
            </w:r>
          </w:p>
        </w:tc>
      </w:tr>
      <w:tr>
        <w:tc>
          <w:tcPr/>
          <w:p>
            <w:pPr>
              <w:pStyle w:val="Compact"/>
              <w:jc w:val="left"/>
            </w:pPr>
            <w:r>
              <w:t>მიღებები, რომლებსაც იმავე დღეს უტარდებათ სკრინინგი</w:t>
            </w:r>
          </w:p>
        </w:tc>
        <w:tc>
          <w:tcPr/>
          <w:p>
            <w:pPr>
              <w:pStyle w:val="Compact"/>
              <w:jc w:val="left"/>
            </w:pPr>
            <w:r>
              <w:t xml:space="preserve">100%</w:t>
            </w:r>
          </w:p>
        </w:tc>
        <w:tc>
          <w:tcPr/>
          <w:p>
            <w:pPr>
              <w:pStyle w:val="Compact"/>
              <w:jc w:val="left"/>
            </w:pPr>
            <w:r>
              <w:t>ყოველთვიურად</w:t>
            </w:r>
          </w:p>
        </w:tc>
        <w:tc>
          <w:tcPr/>
          <w:p>
            <w:pPr>
              <w:pStyle w:val="Compact"/>
              <w:jc w:val="left"/>
            </w:pPr>
            <w:r>
              <w:t>კლინიკური ხელმძღვანელი</w:t>
            </w:r>
          </w:p>
        </w:tc>
        <w:tc>
          <w:tcPr/>
          <w:p>
            <w:pPr>
              <w:pStyle w:val="Compact"/>
              <w:jc w:val="left"/>
            </w:pPr>
            <w:r>
              <w:t>ესკალაცია დაპატიმრების ადგილის უფროსთან და ჯანდაცვის ხელისუფლებასთან</w:t>
            </w:r>
          </w:p>
        </w:tc>
      </w:tr>
      <w:tr>
        <w:tc>
          <w:tcPr/>
          <w:p>
            <w:pPr>
              <w:pStyle w:val="Compact"/>
              <w:jc w:val="left"/>
            </w:pPr>
            <w:r>
              <w:t>გამოკვლევები 24 საათში</w:t>
            </w:r>
          </w:p>
        </w:tc>
        <w:tc>
          <w:tcPr/>
          <w:p>
            <w:pPr>
              <w:pStyle w:val="Compact"/>
              <w:jc w:val="left"/>
            </w:pPr>
            <w:r>
              <w:t xml:space="preserve">95%</w:t>
            </w:r>
          </w:p>
        </w:tc>
        <w:tc>
          <w:tcPr/>
          <w:p>
            <w:pPr>
              <w:pStyle w:val="Compact"/>
              <w:jc w:val="left"/>
            </w:pPr>
            <w:r>
              <w:t>ყოველთვიურად</w:t>
            </w:r>
          </w:p>
        </w:tc>
        <w:tc>
          <w:tcPr/>
          <w:p>
            <w:pPr>
              <w:pStyle w:val="Compact"/>
              <w:jc w:val="left"/>
            </w:pPr>
            <w:r>
              <w:t>კლინიკური ხელმძღვანელი</w:t>
            </w:r>
          </w:p>
        </w:tc>
        <w:tc>
          <w:tcPr/>
          <w:p>
            <w:pPr>
              <w:pStyle w:val="Compact"/>
              <w:jc w:val="left"/>
            </w:pPr>
            <w:r>
              <w:t>გადახედეთ მიღების პროცესს</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ამ დოკუმენტში მითითებული ჩანაწერი</w:t>
            </w:r>
          </w:p>
        </w:tc>
        <w:tc>
          <w:tcPr/>
          <w:p>
            <w:pPr>
              <w:pStyle w:val="Compact"/>
              <w:jc w:val="left"/>
            </w:pPr>
            <w:r>
              <w:t>პაციენტის ისტორია ან უბნის საქმე</w:t>
            </w:r>
          </w:p>
        </w:tc>
        <w:tc>
          <w:tcPr/>
          <w:p>
            <w:pPr>
              <w:pStyle w:val="Compact"/>
              <w:jc w:val="left"/>
            </w:pPr>
            <w:r>
              <w:t>დაწესებულების ჩანაწერების პოლიტიკით დადგენილი პერიოდი, წლები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15. ტრენინგი</w:t>
      </w:r>
    </w:p>
    <w:p>
      <w:pPr>
        <w:numPr>
          <w:ilvl w:val="0"/>
          <w:numId w:val="1009"/>
        </w:numPr>
        <w:pStyle w:val="Compact"/>
      </w:pPr>
      <w:r>
        <w:t>პერსონალი ამ დოკუმენტში ივარჯიშებს ჩართვისას და ყოველ წელს განახლდება, დაფიქსირებული კომპეტენციის შემოწმებით.</w:t>
      </w:r>
    </w:p>
    <w:bookmarkEnd w:id="38"/>
    <w:bookmarkStart w:id="41" w:name="related-documents"/>
    <w:p>
      <w:pPr>
        <w:pStyle w:val="Heading2"/>
      </w:pPr>
      <w:r>
        <w:t>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სათაური</w:t>
            </w:r>
          </w:p>
        </w:tc>
        <w:tc>
          <w:tcPr/>
          <w:p>
            <w:pPr>
              <w:pStyle w:val="Compact"/>
              <w:jc w:val="left"/>
            </w:pPr>
            <w:r>
              <w:t>გამოყენება</w:t>
            </w:r>
          </w:p>
        </w:tc>
      </w:tr>
      <w:tr>
        <w:tc>
          <w:tcPr/>
          <w:p>
            <w:pPr>
              <w:pStyle w:val="Compact"/>
              <w:jc w:val="left"/>
            </w:pPr>
            <w:hyperlink r:id="rId39">
              <w:r>
                <w:rPr>
                  <w:rStyle w:val="Hyperlink"/>
                </w:rPr>
                <w:t xml:space="preserve">PNT-FRM-001</w:t>
              </w:r>
            </w:hyperlink>
          </w:p>
        </w:tc>
        <w:tc>
          <w:tcPr/>
          <w:p>
            <w:pPr>
              <w:pStyle w:val="Compact"/>
              <w:jc w:val="left"/>
            </w:pPr>
            <w:r>
              <w:t>მიღების ჯანმრთელობის სკრინინგის ჩანაწერი</w:t>
            </w:r>
          </w:p>
        </w:tc>
        <w:tc>
          <w:tcPr/>
          <w:p>
            <w:pPr>
              <w:pStyle w:val="Compact"/>
              <w:jc w:val="left"/>
            </w:pPr>
            <w:r>
              <w:t>ჩანაწერი</w:t>
            </w:r>
          </w:p>
        </w:tc>
      </w:tr>
      <w:tr>
        <w:tc>
          <w:tcPr/>
          <w:p>
            <w:pPr>
              <w:pStyle w:val="Compact"/>
              <w:jc w:val="left"/>
            </w:pPr>
            <w:hyperlink r:id="rId40">
              <w:r>
                <w:rPr>
                  <w:rStyle w:val="Hyperlink"/>
                </w:rPr>
                <w:t xml:space="preserve">PSY-SOP-001</w:t>
              </w:r>
            </w:hyperlink>
          </w:p>
        </w:tc>
        <w:tc>
          <w:tcPr/>
          <w:p>
            <w:pPr>
              <w:pStyle w:val="Compact"/>
              <w:jc w:val="left"/>
            </w:pPr>
            <w:r>
              <w:t>თვითმკვლელობის რისკის სკრინინგი და უწყვეტი დაკვირვება (არსებული, ხელახლა გამოყენებული)</w:t>
            </w:r>
          </w:p>
        </w:tc>
        <w:tc>
          <w:tcPr/>
          <w:p>
            <w:pPr>
              <w:pStyle w:val="Compact"/>
              <w:jc w:val="left"/>
            </w:pPr>
            <w:r>
              <w:t>SOP</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1"/>
    <w:bookmarkStart w:id="42" w:name="evidence"/>
    <w:p>
      <w:pPr>
        <w:pStyle w:val="Heading2"/>
      </w:pPr>
      <w:r>
        <w:t>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 xml:space="preserve">E-006</w:t>
            </w:r>
          </w:p>
        </w:tc>
        <w:tc>
          <w:tcPr/>
          <w:p>
            <w:pPr>
              <w:pStyle w:val="Compact"/>
              <w:jc w:val="left"/>
            </w:pPr>
            <w:r>
              <w:t xml:space="preserve">ASF Policy Framework v1.2. Adapted.</w:t>
            </w:r>
          </w:p>
        </w:tc>
      </w:tr>
      <w:tr>
        <w:tc>
          <w:tcPr/>
          <w:p>
            <w:pPr>
              <w:pStyle w:val="Compact"/>
              <w:jc w:val="left"/>
            </w:pPr>
            <w:r>
              <w:t xml:space="preserve">E-009</w:t>
            </w:r>
          </w:p>
        </w:tc>
        <w:tc>
          <w:tcPr/>
          <w:p>
            <w:pPr>
              <w:pStyle w:val="Compact"/>
              <w:jc w:val="left"/>
            </w:pPr>
            <w:r>
              <w:t xml:space="preserve">ASF Expert Committee consensus.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2"/>
    <w:bookmarkStart w:id="43" w:name="change-history"/>
    <w:p>
      <w:pPr>
        <w:pStyle w:val="Heading2"/>
      </w:pPr>
      <w:r>
        <w:t>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 xml:space="preserve">1.0</w:t>
            </w:r>
          </w:p>
        </w:tc>
        <w:tc>
          <w:tcPr/>
          <w:p>
            <w:pPr>
              <w:pStyle w:val="Compact"/>
              <w:jc w:val="left"/>
            </w:pPr>
            <w:r>
              <w:t>დამტკიცების თარიღი</w:t>
            </w:r>
          </w:p>
        </w:tc>
        <w:tc>
          <w:tcPr/>
          <w:p>
            <w:pPr>
              <w:pStyle w:val="Compact"/>
              <w:jc w:val="left"/>
            </w:pPr>
            <w:r>
              <w:t>პირველი ვერსია</w:t>
            </w:r>
          </w:p>
        </w:tc>
        <w:tc>
          <w:tcPr/>
          <w:p>
            <w:pPr>
              <w:pStyle w:val="Compact"/>
              <w:jc w:val="left"/>
            </w:pPr>
            <w:r>
              <w:t>დამტკიცებულია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3"/>
    <w:bookmarkStart w:id="45" w:name="references"/>
    <w:p>
      <w:pPr>
        <w:pStyle w:val="Heading2"/>
      </w:pPr>
      <w:r>
        <w:t>წყაროები</w:t>
      </w:r>
    </w:p>
    <w:p>
      <w:pPr>
        <w:numPr>
          <w:ilvl w:val="0"/>
          <w:numId w:val="1010"/>
        </w:numPr>
        <w:pStyle w:val="Compact"/>
      </w:pPr>
      <w:r>
        <w:t xml:space="preserve">Accréditation Sans Frontières (2026). ASF Policy Framework v1.2.</w:t>
      </w:r>
      <w:r>
        <w:t xml:space="preserve"> </w:t>
      </w:r>
      <w:r>
        <w:t xml:space="preserve">(E-006)</w:t>
      </w:r>
    </w:p>
    <w:p>
      <w:pPr>
        <w:numPr>
          <w:ilvl w:val="0"/>
          <w:numId w:val="1010"/>
        </w:numPr>
        <w:pStyle w:val="Compact"/>
      </w:pPr>
      <w:r>
        <w:t xml:space="preserve">Accréditation Sans Frontières (2026). ASF Expert Committee consensus on Standard 1.</w:t>
      </w:r>
      <w:r>
        <w:t xml:space="preserve"> </w:t>
      </w:r>
      <w:r>
        <w:t xml:space="preserve">(E-009)</w:t>
      </w:r>
    </w:p>
    <w:p>
      <w:pPr>
        <w:pStyle w:val="FirstParagraph"/>
      </w:pPr>
      <w:hyperlink r:id="rId44">
        <w:r>
          <w:rPr>
            <w:rStyle w:val="Hyperlink"/>
          </w:rPr>
          <w:t xml:space="preserve">Download this document as PDF</w:t>
        </w:r>
      </w:hyperlink>
    </w:p>
    <w:bookmarkEnd w:id="45"/>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documents/pnt-frm-001/" TargetMode="External"/><Relationship Id="rId40" Type="http://schemas.openxmlformats.org/officeDocument/2006/relationships/hyperlink" Target="/documents/psy-sop-001/" TargetMode="External"/><Relationship Id="rId22" Type="http://schemas.openxmlformats.org/officeDocument/2006/relationships/hyperlink" Target="/resources/sops/" TargetMode="External"/><Relationship Id="rId20" Type="http://schemas.openxmlformats.org/officeDocument/2006/relationships/hyperlink" Target="/standards/" TargetMode="External"/><Relationship Id="rId21" Type="http://schemas.openxmlformats.org/officeDocument/2006/relationships/hyperlink" Target="/standards/standard-62/" TargetMode="External"/><Relationship Id="rId23" Type="http://schemas.openxmlformats.org/officeDocument/2006/relationships/hyperlink" Target="/standards/standard-62/#c62-1" TargetMode="External"/><Relationship Id="rId44" Type="http://schemas.openxmlformats.org/officeDocument/2006/relationships/hyperlink" Target="https://france-asf.fr/wp-content/uploads/2026/10/pnt-sop-001.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39" Type="http://schemas.openxmlformats.org/officeDocument/2006/relationships/hyperlink" Target="/documents/pnt-frm-001/" TargetMode="External"/><Relationship Id="rId40" Type="http://schemas.openxmlformats.org/officeDocument/2006/relationships/hyperlink" Target="/documents/psy-sop-001/" TargetMode="External"/><Relationship Id="rId22" Type="http://schemas.openxmlformats.org/officeDocument/2006/relationships/hyperlink" Target="/resources/sops/" TargetMode="External"/><Relationship Id="rId20" Type="http://schemas.openxmlformats.org/officeDocument/2006/relationships/hyperlink" Target="/standards/" TargetMode="External"/><Relationship Id="rId21" Type="http://schemas.openxmlformats.org/officeDocument/2006/relationships/hyperlink" Target="/standards/standard-62/" TargetMode="External"/><Relationship Id="rId23" Type="http://schemas.openxmlformats.org/officeDocument/2006/relationships/hyperlink" Target="/standards/standard-62/#c62-1" TargetMode="External"/><Relationship Id="rId44" Type="http://schemas.openxmlformats.org/officeDocument/2006/relationships/hyperlink" Target="https://france-asf.fr/wp-content/uploads/2026/10/pnt-sop-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PNT-SOP-001: Reception health screening and medical examination</dc:title>
  <dc:creator/>
  <cp:keywords/>
  <dcterms:created xsi:type="dcterms:W3CDTF">2026-10-28T21:32:50Z</dcterms:created>
  <dcterms:modified xsi:type="dcterms:W3CDTF">2026-10-28T21:32:50Z</dcterms:modified>
</cp:coreProperties>
</file>

<file path=docProps/custom.xml><?xml version="1.0" encoding="utf-8"?>
<Properties xmlns="http://schemas.openxmlformats.org/officeDocument/2006/custom-properties" xmlns:vt="http://schemas.openxmlformats.org/officeDocument/2006/docPropsVTypes"/>
</file>