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PRC-POL-001:</w:t>
      </w:r>
      <w:r>
        <w:t xml:space="preserve"> </w:t>
      </w:r>
      <w:r>
        <w:t xml:space="preserve">პასუხისმგებლიანი</w:t>
      </w:r>
      <w:r>
        <w:t xml:space="preserve"> </w:t>
      </w:r>
      <w:r>
        <w:t xml:space="preserve">შესყიდვის</w:t>
      </w:r>
      <w:r>
        <w:t xml:space="preserve"> </w:t>
      </w:r>
      <w:r>
        <w:t xml:space="preserve">პოლიტიკა</w:t>
      </w:r>
    </w:p>
    <w:bookmarkStart w:id="48" w:name="Xb4cbcab72b1fd3d9b5bcc95482e2051add471cb"/>
    <w:p>
      <w:pPr>
        <w:pStyle w:val="Heading1"/>
      </w:pPr>
      <w:r>
        <w:t xml:space="preserve">PRC-POL-001: პასუხისმგებლიანი შესყიდვის პოლიტიკა</w:t>
      </w:r>
    </w:p>
    <w:p>
      <w:pPr>
        <w:pStyle w:val="FirstParagraph"/>
      </w:pPr>
      <w:hyperlink r:id="rId20">
        <w:r>
          <w:rPr>
            <w:rStyle w:val="Hyperlink"/>
          </w:rPr>
          <w:t xml:space="preserve">სტანდარტები</w:t>
        </w:r>
      </w:hyperlink>
      <w:r>
        <w:t xml:space="preserve"> </w:t>
      </w:r>
      <w:r>
        <w:t xml:space="preserve">›</w:t>
      </w:r>
      <w:r>
        <w:t xml:space="preserve"> </w:t>
      </w:r>
      <w:hyperlink r:id="rId21">
        <w:r>
          <w:rPr>
            <w:rStyle w:val="Hyperlink"/>
          </w:rPr>
          <w:t xml:space="preserve">სტანდარტი 2C</w:t>
        </w:r>
      </w:hyperlink>
      <w:r>
        <w:t xml:space="preserve"> </w:t>
      </w:r>
      <w:r>
        <w:t xml:space="preserve">›</w:t>
      </w:r>
      <w:r>
        <w:t xml:space="preserve"> </w:t>
      </w:r>
      <w:hyperlink r:id="rId22">
        <w:r>
          <w:rPr>
            <w:rStyle w:val="Hyperlink"/>
          </w:rPr>
          <w:t xml:space="preserve">პოლიტიკები</w:t>
        </w:r>
      </w:hyperlink>
    </w:p>
    <w:p>
      <w:pPr>
        <w:pStyle w:val="BodyText"/>
      </w:pPr>
      <w:r>
        <w:t xml:space="preserve">პოლიტიკა · PRC-POL-001 · ვერსია 1.1 · დამტკიცებულია ASF ექსპერტთა კომიტეტის მიერ</w:t>
      </w:r>
    </w:p>
    <w:p>
      <w:pPr>
        <w:pStyle w:val="BodyText"/>
      </w:pPr>
      <w:r>
        <w:rPr>
          <w:bCs/>
          <w:b/>
        </w:rPr>
        <w:t xml:space="preserve">მხარს უჭერს:</w:t>
      </w:r>
      <w:r>
        <w:t xml:space="preserve"> </w:t>
      </w:r>
      <w:hyperlink r:id="rId23">
        <w:r>
          <w:rPr>
            <w:rStyle w:val="Hyperlink"/>
          </w:rPr>
          <w:t xml:space="preserve">2C.4</w:t>
        </w:r>
      </w:hyperlink>
    </w:p>
    <w:p>
      <w:pPr>
        <w:pStyle w:val="BodyText"/>
      </w:pPr>
      <w:r>
        <w:t xml:space="preserve">მოკლედ</w:t>
      </w:r>
    </w:p>
    <w:p>
      <w:pPr>
        <w:numPr>
          <w:ilvl w:val="0"/>
          <w:numId w:val="1001"/>
        </w:numPr>
        <w:pStyle w:val="Compact"/>
      </w:pPr>
      <w:r>
        <w:t xml:space="preserve">ყოველ შესყიდვაზე, რომელიც დადგენილ ღირებულებას აღემატება, გაითვალისწინეთ მომწოდებლის გარემოსდაცვითი და სოციალური პრაქტიკა (EC).</w:t>
      </w:r>
    </w:p>
    <w:p>
      <w:pPr>
        <w:numPr>
          <w:ilvl w:val="0"/>
          <w:numId w:val="1001"/>
        </w:numPr>
        <w:pStyle w:val="Compact"/>
      </w:pPr>
      <w:r>
        <w:t xml:space="preserve">შეამცირეთ უაზრო მოხმარება: შეფუთვა, ერთჯერადი ნივთები და ზედმეტი შეკვეთა.</w:t>
      </w:r>
    </w:p>
    <w:p>
      <w:pPr>
        <w:numPr>
          <w:ilvl w:val="0"/>
          <w:numId w:val="1001"/>
        </w:numPr>
        <w:pStyle w:val="Compact"/>
      </w:pPr>
      <w:r>
        <w:t xml:space="preserve">მრავალჯერადი ნივთებიდან ნებისმიერი გადასვლა განიხილება ინფექციების კონტროლისა და მწარმოებლის სახელმძღვანელოს მიხედვით.</w:t>
      </w:r>
    </w:p>
    <w:p>
      <w:pPr>
        <w:numPr>
          <w:ilvl w:val="0"/>
          <w:numId w:val="1001"/>
        </w:numPr>
        <w:pStyle w:val="Compact"/>
      </w:pPr>
      <w:r>
        <w:t xml:space="preserve">მთავარი მომწოდებლები ყოველ წელს განიხილეთ.</w:t>
      </w:r>
    </w:p>
    <w:p>
      <w:pPr>
        <w:numPr>
          <w:ilvl w:val="0"/>
          <w:numId w:val="1001"/>
        </w:numPr>
        <w:pStyle w:val="Compact"/>
      </w:pPr>
      <w:r>
        <w:t xml:space="preserve">დაუყოვნებლივ შეაჩერეთ და მიიღეთ დახმარება, თუ: ერთჯერადი ნივთი ამოღებულია ინფექციების კონტროლისა და მწარმოებლის განხილვის გარეშე.</w:t>
      </w:r>
    </w:p>
    <w:bookmarkStart w:id="24" w:name="მიზანი"/>
    <w:p>
      <w:pPr>
        <w:pStyle w:val="Heading2"/>
      </w:pPr>
      <w:r>
        <w:t xml:space="preserve">1. მიზანი</w:t>
      </w:r>
    </w:p>
    <w:p>
      <w:pPr>
        <w:pStyle w:val="FirstParagraph"/>
      </w:pPr>
      <w:r>
        <w:t xml:space="preserve">იმისთვის, რომ შესყიდვის გადაწყვეტილებებმა გაითვალისწინონ გარემოსდაცვითი და სოციალური პასუხისმგებლობა, და ნარჩენების შემცირებისკენ მიმართული არცერთი ცვლილება არ დააზიანოს პაციენტის ან პერსონალის უსაფრთხოება [E-006, EC].</w:t>
      </w:r>
    </w:p>
    <w:bookmarkEnd w:id="24"/>
    <w:bookmarkStart w:id="25" w:name="მოქმედების-სფერო"/>
    <w:p>
      <w:pPr>
        <w:pStyle w:val="Heading2"/>
      </w:pPr>
      <w:r>
        <w:t xml:space="preserve">2. მოქმედების სფერო</w:t>
      </w:r>
    </w:p>
    <w:tbl>
      <w:tblPr>
        <w:tblStyle w:val="Table"/>
        <w:tblW w:type="auto" w:w="0"/>
        <w:tblLook w:firstRow="0" w:lastRow="0" w:firstColumn="0" w:lastColumn="0" w:noHBand="0" w:noVBand="0" w:val="0000"/>
        <w:jc w:val="start"/>
      </w:tblPr>
      <w:tblGrid>
        <w:gridCol w:w="3960"/>
        <w:gridCol w:w="3960"/>
      </w:tblGrid>
      <w:tr>
        <w:tc>
          <w:tcPr/>
          <w:p>
            <w:pPr>
              <w:pStyle w:val="Compact"/>
              <w:jc w:val="left"/>
            </w:pPr>
            <w:r>
              <w:t xml:space="preserve">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შესყიდვები, ყველა ბიუჯეტის მფლობელი, ინფექციების პრევენციის ხელმძღვანელი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ადგილები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ობიექტზე ყველა შესყიდვა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როდის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ყოველი შესყიდვა; კრიტერიუმების განხილვა ყოველწლიურად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არ ვრცელდება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კლინიკური პროდუქტის შერჩევა უსაფრთხოებისთვის, რომელიც მიჰყვება კლინიკურ და ინფექციების კონტროლის დამტკიცებას</w:t>
            </w:r>
          </w:p>
        </w:tc>
      </w:tr>
    </w:tbl>
    <w:bookmarkEnd w:id="25"/>
    <w:bookmarkStart w:id="26" w:name="განმარტებები"/>
    <w:p>
      <w:pPr>
        <w:pStyle w:val="Heading2"/>
      </w:pPr>
      <w:r>
        <w:t xml:space="preserve">3. განმარტებები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ტერმინი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მნიშვნელობა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ერთჯერადი ნივთი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პროდუქტი, რომელიც ერთჯერადი გამოყენებისთვისაა შექმნილი და შემდეგ იყრება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სტიუარდშიპი (რესურსების გონივრული მართვა)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რესურსების ფრთხილად გამოყენება, ნარჩენების თავიდან აცილება და მოპასუხისმგებლო მომწოდებლების შერჩევა</w:t>
            </w:r>
          </w:p>
        </w:tc>
      </w:tr>
    </w:tbl>
    <w:bookmarkEnd w:id="26"/>
    <w:bookmarkStart w:id="27" w:name="ფონი"/>
    <w:p>
      <w:pPr>
        <w:pStyle w:val="Heading2"/>
      </w:pPr>
      <w:r>
        <w:t xml:space="preserve">4. ფონი</w:t>
      </w:r>
    </w:p>
    <w:p>
      <w:pPr>
        <w:pStyle w:val="FirstParagraph"/>
      </w:pPr>
      <w:r>
        <w:t xml:space="preserve">შესყიდვებს გარემოსდაცვითი და სოციალური ხარჯები აქვს. კრიტერიუმი 2C.4 შესყიდვებისგან ითხოვს მათ გათვალისწინებას, უსაფრთხოების დაცვის პარალელურად. მხოლოდ ყველაზე დაბალი ფასი ამ კრიტერიუმს არ აკმაყოფილებს.</w:t>
      </w:r>
    </w:p>
    <w:bookmarkEnd w:id="27"/>
    <w:bookmarkStart w:id="28" w:name="პასუხისმგებლობები"/>
    <w:p>
      <w:pPr>
        <w:pStyle w:val="Heading2"/>
      </w:pPr>
      <w:r>
        <w:t xml:space="preserve">5. პასუხისმგებლობები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პასუხისმგებლობა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კომპეტენცია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შესყიდვების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ფლობს კრიტერიუმებსა და მომწოდებლის განხილვას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ბიუჯეტის მფლობელები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შეუკვეთეთ მხოლოდ საჭირო; აღნიშნეთ ნარჩენი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ინფექციის პრევენციის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ამტკიცებს ერთჯერადი ნივთების ნებისმიერ ცვლილებას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ინფექციების პრევენცია</w:t>
            </w:r>
          </w:p>
        </w:tc>
      </w:tr>
    </w:tbl>
    <w:bookmarkEnd w:id="28"/>
    <w:bookmarkStart w:id="29" w:name="მასალები-და-აღჭურვილობა"/>
    <w:p>
      <w:pPr>
        <w:pStyle w:val="Heading2"/>
      </w:pPr>
      <w:r>
        <w:t xml:space="preserve">6. მასალები და აღჭურვილობა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ერთეული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მოთხოვნა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მდგომარეობა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შესყიდვის კრიტერიუმები (SOP-109, ადაპტირებული)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ხელმისაწვდომია მყიდველებისთვის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მომწოდებლის განხილვის ჩანაწერი (PRC-FRM-001)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მიმდინარე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მთავარი მომწოდებლები ჩამოთვლილია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მომწოდებლის დეკლარაცია (FRM-N09)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ხელმოწერილი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ფაილში</w:t>
            </w:r>
          </w:p>
        </w:tc>
      </w:tr>
    </w:tbl>
    <w:bookmarkEnd w:id="29"/>
    <w:bookmarkStart w:id="30" w:name="უსაფრთხოება"/>
    <w:p>
      <w:pPr>
        <w:pStyle w:val="Heading2"/>
      </w:pPr>
      <w:r>
        <w:t xml:space="preserve">7. უსაფრთხოება</w:t>
      </w:r>
    </w:p>
    <w:p>
      <w:pPr>
        <w:numPr>
          <w:ilvl w:val="0"/>
          <w:numId w:val="1002"/>
        </w:numPr>
        <w:pStyle w:val="Compact"/>
      </w:pPr>
      <w:r>
        <w:t xml:space="preserve">ერთჯერადი ნივთების შემცირება არ ხდება იქ, სადაც ინფექციების კონტროლი ან მწარმოებელი მათ მოითხოვს.</w:t>
      </w:r>
    </w:p>
    <w:p>
      <w:pPr>
        <w:numPr>
          <w:ilvl w:val="0"/>
          <w:numId w:val="1002"/>
        </w:numPr>
        <w:pStyle w:val="Compact"/>
      </w:pPr>
      <w:r>
        <w:t xml:space="preserve">მრავალჯერადი ნივთები უნდა დამუშავდეს საჭირო სტანდარტით, ამ დამუშავების ღირებულების გათვალისწინებით.</w:t>
      </w:r>
    </w:p>
    <w:bookmarkEnd w:id="30"/>
    <w:bookmarkStart w:id="31" w:name="დაწყებამდე"/>
    <w:p>
      <w:pPr>
        <w:pStyle w:val="Heading2"/>
      </w:pPr>
      <w:r>
        <w:t xml:space="preserve">8. დაწყებამდე</w:t>
      </w:r>
    </w:p>
    <w:p>
      <w:pPr>
        <w:numPr>
          <w:ilvl w:val="0"/>
          <w:numId w:val="1003"/>
        </w:numPr>
        <w:pStyle w:val="Compact"/>
      </w:pPr>
      <w:r>
        <w:t xml:space="preserve">შეამოწმეთ კრიტერიუმები შესყიდვის კატეგორიისთვის.</w:t>
      </w:r>
    </w:p>
    <w:bookmarkEnd w:id="31"/>
    <w:bookmarkStart w:id="32" w:name="პროცედურა"/>
    <w:p>
      <w:pPr>
        <w:pStyle w:val="Heading2"/>
      </w:pPr>
      <w:r>
        <w:t xml:space="preserve">9. პროცედურა</w:t>
      </w:r>
    </w:p>
    <w:p>
      <w:pPr>
        <w:pStyle w:val="FirstParagraph"/>
      </w:pPr>
      <w:r>
        <w:t xml:space="preserve">ნაბიჯი 1. კრიტერიუმების გამოყენება.</w:t>
      </w:r>
    </w:p>
    <w:p>
      <w:pPr>
        <w:numPr>
          <w:ilvl w:val="0"/>
          <w:numId w:val="1004"/>
        </w:numPr>
        <w:pStyle w:val="Compact"/>
      </w:pPr>
      <w:r>
        <w:t xml:space="preserve">ყოველი შესყიდვისთვის, რომელიც დადგენილ ღირებულებას აღემატება, ჩაწერეთ, როგორ იქნა გათვალისწინებული გარემოსდაცვითი და სოციალური კრიტერიუმები.</w:t>
      </w:r>
    </w:p>
    <w:p>
      <w:pPr>
        <w:numPr>
          <w:ilvl w:val="0"/>
          <w:numId w:val="1004"/>
        </w:numPr>
        <w:pStyle w:val="Compact"/>
      </w:pPr>
      <w:r>
        <w:t xml:space="preserve">ახალი მომწოდებლებისთვის გამოიყენეთ მომწოდებლის დეკლარაცია (FRM-N09).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ჩაწერილი მიზეზი არის ის, რაც აჩვენებს, რომ კრიტერიუმები გამოყენებულია.</w:t>
      </w:r>
    </w:p>
    <w:p>
      <w:pPr>
        <w:pStyle w:val="BodyText"/>
      </w:pPr>
      <w:r>
        <w:t xml:space="preserve">ნაბიჯი 2. ნარჩენების შემცირება.</w:t>
      </w:r>
    </w:p>
    <w:p>
      <w:pPr>
        <w:numPr>
          <w:ilvl w:val="0"/>
          <w:numId w:val="1005"/>
        </w:numPr>
        <w:pStyle w:val="Compact"/>
      </w:pPr>
      <w:r>
        <w:t xml:space="preserve">ყოველ კვარტალში განიხილეთ ზედმეტი შეკვეთა, შეფუთვა და ერთჯერადი ნივთები.</w:t>
      </w:r>
    </w:p>
    <w:p>
      <w:pPr>
        <w:numPr>
          <w:ilvl w:val="0"/>
          <w:numId w:val="1005"/>
        </w:numPr>
        <w:pStyle w:val="Compact"/>
      </w:pPr>
      <w:r>
        <w:t xml:space="preserve">უსაფრთხო შემთხვევაში შეათანხმეთ შემცირებები და ჩაწერეთ ისინი.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ნარჩენების შემცირება იწყება ნაკლების შეკვეთით და არა მხოლოდ გადამუშავებით.</w:t>
      </w:r>
    </w:p>
    <w:p>
      <w:pPr>
        <w:pStyle w:val="BodyText"/>
      </w:pPr>
      <w:r>
        <w:t xml:space="preserve">ნაბიჯი 3. ერთჯერადი ნივთების ცვლილებების განხილვა.</w:t>
      </w:r>
    </w:p>
    <w:p>
      <w:pPr>
        <w:numPr>
          <w:ilvl w:val="0"/>
          <w:numId w:val="1006"/>
        </w:numPr>
        <w:pStyle w:val="Compact"/>
      </w:pPr>
      <w:r>
        <w:t xml:space="preserve">ნებისმიერი წინადადება მრავალჯერადზე გადასვლის ან ერთჯერადი ნივთის მოხსნის შესახებ გადადის ინფექციების პრევენციის ხელმძღვანელთან.</w:t>
      </w:r>
    </w:p>
    <w:p>
      <w:pPr>
        <w:numPr>
          <w:ilvl w:val="0"/>
          <w:numId w:val="1006"/>
        </w:numPr>
        <w:pStyle w:val="Compact"/>
      </w:pPr>
      <w:r>
        <w:t xml:space="preserve">შეამოწმეთ მწარმოებლის ინსტრუქციები და დამუშავების ღირებულება.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უსაფრთხოების განხილვა ეკონომიაზე წინ უნდა იყოს.</w:t>
      </w:r>
    </w:p>
    <w:p>
      <w:pPr>
        <w:pStyle w:val="BodyText"/>
      </w:pPr>
      <w:r>
        <w:t xml:space="preserve">ნაბიჯი 4. მომწოდებლების ყოველწლიური განხილვა.</w:t>
      </w:r>
    </w:p>
    <w:p>
      <w:pPr>
        <w:numPr>
          <w:ilvl w:val="0"/>
          <w:numId w:val="1007"/>
        </w:numPr>
        <w:pStyle w:val="Compact"/>
      </w:pPr>
      <w:r>
        <w:t xml:space="preserve">მთავარი მომწოდებლები ყოველ წელს განიხილეთ PRC-FRM-001-ზე: გარემოსდაცვითი პრაქტიკა, შრომითი პრაქტიკა, ნარჩენები და შეფუთვა.</w:t>
      </w:r>
    </w:p>
    <w:p>
      <w:pPr>
        <w:numPr>
          <w:ilvl w:val="0"/>
          <w:numId w:val="1007"/>
        </w:numPr>
        <w:pStyle w:val="Compact"/>
      </w:pPr>
      <w:r>
        <w:t xml:space="preserve">ჩაწერეთ შედეგი და ნებისმიერი ქმედება.</w:t>
      </w:r>
    </w:p>
    <w:p>
      <w:pPr>
        <w:pStyle w:val="FirstParagraph"/>
      </w:pPr>
      <w:r>
        <w:rPr>
          <w:bCs/>
          <w:b/>
        </w:rPr>
        <w:t xml:space="preserve">მთავარი პუნქტი:</w:t>
      </w:r>
      <w:r>
        <w:t xml:space="preserve"> </w:t>
      </w:r>
      <w:r>
        <w:t xml:space="preserve">ყოველწლიური განხილვა არის ის, რაც შემოწმებას მნიშვნელოვანს ხდის.</w:t>
      </w:r>
    </w:p>
    <w:bookmarkEnd w:id="32"/>
    <w:bookmarkStart w:id="33" w:name="გადაწყვეტილების-წერტილები"/>
    <w:p>
      <w:pPr>
        <w:pStyle w:val="Heading2"/>
      </w:pPr>
      <w:r>
        <w:t xml:space="preserve">10. გადაწყვეტილების წერტილები</w:t>
      </w:r>
    </w:p>
    <w:p>
      <w:pPr>
        <w:numPr>
          <w:ilvl w:val="0"/>
          <w:numId w:val="1008"/>
        </w:numPr>
        <w:pStyle w:val="Compact"/>
      </w:pPr>
      <w:r>
        <w:t xml:space="preserve">თუ მთავარი მომწოდებელი განხილვას ვერ გაივლის, შესყიდვების ხელმძღვანელი თანხმდება გაუმჯობესების გეგმაზე ან მომწოდებლის შეცვლაზე.</w:t>
      </w:r>
    </w:p>
    <w:bookmarkEnd w:id="33"/>
    <w:bookmarkStart w:id="34" w:name="განსაკუთრებული-სიტუაციები"/>
    <w:p>
      <w:pPr>
        <w:pStyle w:val="Heading2"/>
      </w:pPr>
      <w:r>
        <w:t xml:space="preserve">11. განსაკუთრებული სიტუაციები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სიტუაცია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მოქმედება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გადაუდებელი შესყიდვა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ჯერ მიჰყევით გადაუდებელი შესყიდვის წესებს. კრიტერიუმები შემდეგ ჩაწერეთ.</w:t>
            </w:r>
          </w:p>
        </w:tc>
      </w:tr>
    </w:tbl>
    <w:bookmarkEnd w:id="34"/>
    <w:bookmarkStart w:id="35" w:name="ესკალაცია"/>
    <w:p>
      <w:pPr>
        <w:pStyle w:val="Heading2"/>
      </w:pPr>
      <w:r>
        <w:t xml:space="preserve">12. ესკალაცია</w:t>
      </w:r>
    </w:p>
    <w:p>
      <w:pPr>
        <w:numPr>
          <w:ilvl w:val="0"/>
          <w:numId w:val="1009"/>
        </w:numPr>
        <w:pStyle w:val="Compact"/>
      </w:pPr>
      <w:r>
        <w:t xml:space="preserve">წინადადებულ ცვლილებასთან დაკავშირებული უსაფრთხოების შეშფოთებები იმავე დღეს გადაეცემა ინფექციების პრევენციის ხელმძღვანელს.</w:t>
      </w:r>
    </w:p>
    <w:bookmarkEnd w:id="35"/>
    <w:bookmarkStart w:id="36" w:name="მონიტორინგი"/>
    <w:p>
      <w:pPr>
        <w:pStyle w:val="Heading2"/>
      </w:pPr>
      <w:r>
        <w:t xml:space="preserve">13. მონიტორინგი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584"/>
        <w:gridCol w:w="1584"/>
        <w:gridCol w:w="1584"/>
        <w:gridCol w:w="1584"/>
        <w:gridCol w:w="1584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ზომა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სამიზნე მაჩვენებელი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სიხშირე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პასუხისმგებელი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თუ არ შესრულდა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შესყიდვები დადგენილ ღირებულებაზე მეტი, კრიტერიუმების ჩაწერით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ყოველკვარტალური შერჩევა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მყიდველების ხელახალი მომზადება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მთავარი მომწოდებლები განხილულია ბოლო 12 თვის განმავლობაში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წელიწადში ერთხელ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გადაეცით აღმასრულებელ დირექტორს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ერთჯერადი ნივთების ცვლილებები დამტკიცებული ინფექციების პრევენციის მიერ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100%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ყოველი შემთხვევა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ინფექციის პრევენციის ხელმძღვანელი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განხილვა</w:t>
            </w:r>
          </w:p>
        </w:tc>
      </w:tr>
    </w:tbl>
    <w:bookmarkEnd w:id="36"/>
    <w:bookmarkStart w:id="37" w:name="ჩანაწერები"/>
    <w:p>
      <w:pPr>
        <w:pStyle w:val="Heading2"/>
      </w:pPr>
      <w:r>
        <w:t xml:space="preserve">14. ჩანაწერები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ინახება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შენახვის ვადა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PRC-FRM-001 მომწოდებლის განხილვის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პერიოდი, წლები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FRM-N06 შესყიდვის შედარებისა და მინიჭების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შესყიდვების ფაილი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დაწესებულების ჩანაწერების პოლიტიკით დადგენილი პერიოდი, წლები</w:t>
            </w:r>
          </w:p>
        </w:tc>
      </w:tr>
    </w:tbl>
    <w:bookmarkEnd w:id="37"/>
    <w:bookmarkStart w:id="38" w:name="სწავლება"/>
    <w:p>
      <w:pPr>
        <w:pStyle w:val="Heading2"/>
      </w:pPr>
      <w:r>
        <w:t xml:space="preserve">15. სწავლება</w:t>
      </w:r>
    </w:p>
    <w:p>
      <w:pPr>
        <w:numPr>
          <w:ilvl w:val="0"/>
          <w:numId w:val="1010"/>
        </w:numPr>
        <w:pStyle w:val="Compact"/>
      </w:pPr>
      <w:r>
        <w:t xml:space="preserve">მყიდველები დანიშვნისას და ყოველწლიურად ინფორმირდებიან კრიტერიუმების შესახებ (EC).</w:t>
      </w:r>
    </w:p>
    <w:bookmarkEnd w:id="38"/>
    <w:bookmarkStart w:id="41" w:name="დაკავშირებული-დოკუმენტები"/>
    <w:p>
      <w:pPr>
        <w:pStyle w:val="Heading2"/>
      </w:pPr>
      <w:r>
        <w:t xml:space="preserve">16. დაკავშირებული დოკუმენტები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2640"/>
        <w:gridCol w:w="2640"/>
        <w:gridCol w:w="264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ID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სათაური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გამოყენება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39">
              <w:r>
                <w:rPr>
                  <w:rStyle w:val="Hyperlink"/>
                </w:rPr>
                <w:t xml:space="preserve">PRC-SOP-001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შესყიდვების რესურსების გონივრული მართვის განხილვა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გამოიყენება ნაბიჯებში 1-დან 4-მდე</w:t>
            </w:r>
          </w:p>
        </w:tc>
      </w:tr>
      <w:tr>
        <w:tc>
          <w:tcPr/>
          <w:p>
            <w:pPr>
              <w:pStyle w:val="Compact"/>
              <w:jc w:val="left"/>
            </w:pPr>
            <w:hyperlink r:id="rId40">
              <w:r>
                <w:rPr>
                  <w:rStyle w:val="Hyperlink"/>
                </w:rPr>
                <w:t xml:space="preserve">PRC-FRM-001</w:t>
              </w:r>
            </w:hyperlink>
          </w:p>
        </w:tc>
        <w:tc>
          <w:tcPr/>
          <w:p>
            <w:pPr>
              <w:pStyle w:val="Compact"/>
              <w:jc w:val="left"/>
            </w:pPr>
            <w:r>
              <w:t xml:space="preserve">მომწოდებლის განხილვის ჩანაწერი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მომწოდებლის განხილვა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SOP-109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შესყიდვის კრიტერიუმები (ზოგადი)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საფუძველი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SOP-116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მომწოდებლისა და პროდუქტის შერჩევის კრიტერიუმები (ზოგადი)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საფუძველი</w:t>
            </w:r>
          </w:p>
        </w:tc>
      </w:tr>
    </w:tbl>
    <w:bookmarkEnd w:id="41"/>
    <w:bookmarkStart w:id="42" w:name="მტკიცებულებები"/>
    <w:p>
      <w:pPr>
        <w:pStyle w:val="Heading2"/>
      </w:pPr>
      <w:r>
        <w:t xml:space="preserve">17. მტკიცებულებები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3960"/>
        <w:gridCol w:w="396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წყარო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შენიშვნა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E-006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Policy Framework v1.2. ადაპტირებული.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E-009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ASF ექსპერტთა კომიტეტის კონსენსუსი. კრიტერიუმების წონები და ღირებულების ზღვარი დასადგენია.</w:t>
            </w:r>
          </w:p>
        </w:tc>
      </w:tr>
    </w:tbl>
    <w:bookmarkEnd w:id="42"/>
    <w:bookmarkStart w:id="43" w:name="ცვლილებების-ისტორია"/>
    <w:p>
      <w:pPr>
        <w:pStyle w:val="Heading2"/>
      </w:pPr>
      <w:r>
        <w:t xml:space="preserve">18. ცვლილებების ისტორია</w:t>
      </w:r>
    </w:p>
    <w:tbl>
      <w:tblPr>
        <w:tblStyle w:val="Table"/>
        <w:tblW w:type="auto" w:w="0"/>
        <w:tblLook w:firstRow="1" w:lastRow="0" w:firstColumn="0" w:lastColumn="0" w:noHBand="0" w:noVBand="0" w:val="0020"/>
        <w:jc w:val="start"/>
      </w:tblPr>
      <w:tblGrid>
        <w:gridCol w:w="1980"/>
        <w:gridCol w:w="1980"/>
        <w:gridCol w:w="1980"/>
        <w:gridCol w:w="1980"/>
      </w:tblGrid>
      <w:tr>
        <w:trPr>
          <w:tblHeader w:val="true"/>
        </w:trPr>
        <w:tc>
          <w:tcPr/>
          <w:p>
            <w:pPr>
              <w:pStyle w:val="Compact"/>
              <w:jc w:val="left"/>
            </w:pPr>
            <w:r>
              <w:t xml:space="preserve">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თარიღი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რა შეიცვალა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დამტკიცება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პირველი ვერსია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1.1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  <w:jc w:val="left"/>
            </w:pPr>
            <w:r>
              <w:t xml:space="preserve">შიდა ხარისხის მიმოხილვა: გასწორებული ჯვარედინი მითითებები, სტატუსის ფორმულირება და დოკუმენტების კონტროლი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დამტკიცებულია ASF ექსპერტთა კომიტეტის მიერ</w:t>
            </w:r>
          </w:p>
        </w:tc>
      </w:tr>
    </w:tbl>
    <w:bookmarkEnd w:id="43"/>
    <w:bookmarkStart w:id="46" w:name="ამ-დოკუმენტის-ელექტრონული-სწავლება"/>
    <w:p>
      <w:pPr>
        <w:pStyle w:val="Heading2"/>
      </w:pPr>
      <w:r>
        <w:t xml:space="preserve">ამ დოკუმენტის ელექტრონული სწავლება</w:t>
      </w:r>
    </w:p>
    <w:p>
      <w:pPr>
        <w:numPr>
          <w:ilvl w:val="0"/>
          <w:numId w:val="1011"/>
        </w:numPr>
        <w:pStyle w:val="Compact"/>
      </w:pPr>
      <w:hyperlink r:id="rId44">
        <w:r>
          <w:rPr>
            <w:rStyle w:val="Hyperlink"/>
          </w:rPr>
          <w:t xml:space="preserve">გარემოსდაცვითი მდგრადობის სტანდარტები ASF აკრედიტაციისთვის</w:t>
        </w:r>
      </w:hyperlink>
      <w:r>
        <w:t xml:space="preserve"> </w:t>
      </w:r>
      <w:r>
        <w:t xml:space="preserve">(ENV-001)</w:t>
      </w:r>
    </w:p>
    <w:p>
      <w:pPr>
        <w:numPr>
          <w:ilvl w:val="0"/>
          <w:numId w:val="1011"/>
        </w:numPr>
        <w:pStyle w:val="Compact"/>
      </w:pPr>
      <w:hyperlink r:id="rId45">
        <w:r>
          <w:rPr>
            <w:rStyle w:val="Hyperlink"/>
          </w:rPr>
          <w:t xml:space="preserve">Supplier Evaluation and Purchasing</w:t>
        </w:r>
      </w:hyperlink>
      <w:r>
        <w:t xml:space="preserve"> </w:t>
      </w:r>
      <w:r>
        <w:t xml:space="preserve">(T-13)</w:t>
      </w:r>
    </w:p>
    <w:bookmarkEnd w:id="46"/>
    <w:bookmarkStart w:id="47" w:name="წყაროები"/>
    <w:p>
      <w:pPr>
        <w:pStyle w:val="Heading2"/>
      </w:pPr>
      <w:r>
        <w:t xml:space="preserve">წყაროები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Policy Framework v1.2.</w:t>
      </w:r>
      <w:r>
        <w:t xml:space="preserve"> </w:t>
      </w:r>
      <w:r>
        <w:t xml:space="preserve">(E-006)</w:t>
      </w:r>
    </w:p>
    <w:p>
      <w:pPr>
        <w:numPr>
          <w:ilvl w:val="0"/>
          <w:numId w:val="1012"/>
        </w:numPr>
        <w:pStyle w:val="Compact"/>
      </w:pPr>
      <w:r>
        <w:t xml:space="preserve">Accréditation Sans Frontières (2026). ASF Expert Committee consensus on Standard 1.</w:t>
      </w:r>
      <w:r>
        <w:t xml:space="preserve"> </w:t>
      </w:r>
      <w:r>
        <w:t xml:space="preserve">(E-009)</w:t>
      </w:r>
    </w:p>
    <w:bookmarkEnd w:id="47"/>
    <w:bookmarkEnd w:id="48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ka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Title" w:type="paragraph">
    <w:name w:val="Abstract Title"/>
    <w:basedOn w:val="Normal"/>
    <w:next w:val="Abstract"/>
    <w:qFormat/>
    <w:pPr>
      <w:keepNext/>
      <w:keepLines/>
      <w:jc w:val="center"/>
      <w:spacing w:after="0" w:before="300"/>
    </w:pPr>
    <w:rPr>
      <w:sz w:val="20"/>
      <w:szCs w:val="20"/>
      <w:b/>
      <w:color w:val="345A8A"/>
      &gt;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Type="http://schemas.openxmlformats.org/officeDocument/2006/relationships/hyperlink" Id="rId40" Target="/documents/prc-frm-001/" TargetMode="External" /><Relationship Type="http://schemas.openxmlformats.org/officeDocument/2006/relationships/hyperlink" Id="rId39" Target="/documents/prc-sop-001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c/" TargetMode="External" /><Relationship Type="http://schemas.openxmlformats.org/officeDocument/2006/relationships/hyperlink" Id="rId23" Target="/ka/standards/standard-2c/#c2c-4" TargetMode="External" /><Relationship Type="http://schemas.openxmlformats.org/officeDocument/2006/relationships/hyperlink" Id="rId44" Target="https://academy.gmj.ge/courses/asf-env-001-en/" TargetMode="External" /><Relationship Type="http://schemas.openxmlformats.org/officeDocument/2006/relationships/hyperlink" Id="rId45" Target="https://academy.gmj.ge/courses/asf-t-13-en/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40" Target="/documents/prc-frm-001/" TargetMode="External" /><Relationship Type="http://schemas.openxmlformats.org/officeDocument/2006/relationships/hyperlink" Id="rId39" Target="/documents/prc-sop-001/" TargetMode="External" /><Relationship Type="http://schemas.openxmlformats.org/officeDocument/2006/relationships/hyperlink" Id="rId22" Target="/ka/resources/policies/" TargetMode="External" /><Relationship Type="http://schemas.openxmlformats.org/officeDocument/2006/relationships/hyperlink" Id="rId20" Target="/ka/standards/" TargetMode="External" /><Relationship Type="http://schemas.openxmlformats.org/officeDocument/2006/relationships/hyperlink" Id="rId21" Target="/ka/standards/standard-2c/" TargetMode="External" /><Relationship Type="http://schemas.openxmlformats.org/officeDocument/2006/relationships/hyperlink" Id="rId23" Target="/ka/standards/standard-2c/#c2c-4" TargetMode="External" /><Relationship Type="http://schemas.openxmlformats.org/officeDocument/2006/relationships/hyperlink" Id="rId44" Target="https://academy.gmj.ge/courses/asf-env-001-en/" TargetMode="External" /><Relationship Type="http://schemas.openxmlformats.org/officeDocument/2006/relationships/hyperlink" Id="rId45" Target="https://academy.gmj.ge/courses/asf-t-13-en/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PRC-POL-001: პასუხისმგებლიანი შესყიდვის პოლიტიკა</dc:title>
  <dc:creator/>
  <dc:language>ka</dc:language>
  <cp:keywords/>
  <dcterms:created xsi:type="dcterms:W3CDTF">2026-11-07T01:31:37Z</dcterms:created>
  <dcterms:modified xsi:type="dcterms:W3CDTF">2026-11-07T01:31:37Z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