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PRO-FRM-005: სტერილური ტექნიკის აუდიტის ჩანაწერი</w:t>
      </w:r>
      <w:r/>
      <w:r/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ფორმა</w:t>
            </w:r>
          </w:p>
          <w:p>
            <w:pPr>
              <w:pStyle w:val="Compact"/>
              <w:jc w:val="left"/>
            </w:pPr>
            <w:r>
              <w:t>სტერილური ტექნიკის აუდიტის ჩანაწერი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PRO-FRM-005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›  › </w:t>
      </w:r>
      <w:r/>
      <w:r/>
      <w:hyperlink r:id="rId21">
        <w:r>
          <w:rPr>
            <w:rStyle w:val="Hyperlink"/>
          </w:rPr>
          <w:t xml:space="preserve">Standard 11</w:t>
        </w:r>
      </w:hyperlink>
      <w:r/>
      <w:r/>
      <w:r/>
      <w:hyperlink r:id="rId22">
        <w:r>
          <w:rPr>
            <w:rStyle w:val="Hyperlink"/>
          </w:rPr>
          <w:t xml:space="preserve">Forms</w:t>
        </w:r>
      </w:hyperlink>
    </w:p>
    <w:p>
      <w:pPr>
        <w:pStyle w:val="BodyText"/>
      </w:pPr>
      <w:r>
        <w:t>ფორმა · PRO-FRM-005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</w:t>
      </w:r>
      <w:r/>
      <w:hyperlink r:id="rId23">
        <w:r>
          <w:rPr>
            <w:rStyle w:val="Hyperlink"/>
          </w:rPr>
          <w:t xml:space="preserve">11.7</w:t>
        </w:r>
      </w:hyperlink>
    </w:p>
    <w:bookmarkStart w:id="24" w:name="purpose"/>
    <w:p>
      <w:pPr>
        <w:pStyle w:val="Heading2"/>
      </w:pPr>
      <w:r>
        <w:t>დანიშნულება</w:t>
      </w:r>
    </w:p>
    <w:p>
      <w:pPr>
        <w:pStyle w:val="FirstParagraph"/>
      </w:pPr>
      <w:r>
        <w:t>აღრიცხავს დაკვირვებულ სტერილურ ტექნიკას თითოეულ ინექციასა და პროცედურაზე.</w:t>
      </w:r>
    </w:p>
    <w:bookmarkEnd w:id="24"/>
    <w:bookmarkStart w:id="25" w:name="how-to-complete"/>
    <w:p>
      <w:pPr>
        <w:pStyle w:val="Heading2"/>
      </w:pPr>
      <w:r>
        <w:t>როგორ შევავსოთ</w:t>
      </w:r>
    </w:p>
    <w:p>
      <w:pPr>
        <w:numPr>
          <w:ilvl w:val="0"/>
          <w:numId w:val="1001"/>
        </w:numPr>
        <w:pStyle w:val="Compact"/>
      </w:pPr>
      <w:r>
        <w:t>ყოველთვიურად დააკვირდით თითოეულ პრაქტიკოსს.</w:t>
      </w:r>
    </w:p>
    <w:p>
      <w:pPr>
        <w:numPr>
          <w:ilvl w:val="0"/>
          <w:numId w:val="1001"/>
        </w:numPr>
        <w:pStyle w:val="Compact"/>
      </w:pPr>
      <w:r>
        <w:t>აღრიცხეთ თითოეული დაკვირვებული ნაბიჯი.</w:t>
      </w:r>
    </w:p>
    <w:p>
      <w:pPr>
        <w:numPr>
          <w:ilvl w:val="0"/>
          <w:numId w:val="1001"/>
        </w:numPr>
        <w:pStyle w:val="Compact"/>
      </w:pPr>
      <w:r>
        <w:t>აღრიცხეთ თითოეული ხარვეზი და მისი ქმედება.</w:t>
      </w:r>
    </w:p>
    <w:bookmarkEnd w:id="25"/>
    <w:bookmarkStart w:id="26" w:name="checks"/>
    <w:p>
      <w:pPr>
        <w:pStyle w:val="Heading2"/>
      </w:pPr>
      <w:r>
        <w:t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ხელების ჰიგიენა პროცედურამდე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სტერილური ველი მომზადებულია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ერთჯერადი საშუალებები გამოიყენება მხოლოდ ერთხელ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ხელთათმანები და პირადი დამცავი საშუალებები საჭიროებისამებრ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აღმოჩენილი ხარვეზი და ქმედება</w:t>
            </w:r>
          </w:p>
        </w:tc>
        <w:tc>
          <w:tcPr/>
          <w:p>
            <w:pPr>
              <w:pStyle w:val="Compact"/>
              <w:jc w:val="left"/>
            </w:pPr>
            <w:r>
              <w:t>დიახ ან N/A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დამკვირვებელი და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evidence"/>
    <w:p>
      <w:pPr>
        <w:pStyle w:val="Heading2"/>
      </w:pPr>
      <w:r>
        <w:t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ემყარება WHO-ს სახელმძღვანელოებს ხელების ჰიგიენის შესახებ ჯანდაცვაში (2009) და უსაფრთხო ქირურგიული მოვლის შესახებ (2016).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change-history"/>
    <w:p>
      <w:pPr>
        <w:pStyle w:val="Heading2"/>
      </w:pPr>
      <w:r>
        <w:t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30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02"/>
        </w:numPr>
        <w:pStyle w:val="Compact"/>
      </w:pPr>
      <w:r>
        <w:t>Accréditation Sans Frontières (2026). ASF Policy Framework v1.2. (E-006)</w:t>
      </w:r>
      <w:r/>
      <w:r/>
    </w:p>
    <w:p>
      <w:pPr>
        <w:numPr>
          <w:ilvl w:val="0"/>
          <w:numId w:val="1002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pStyle w:val="FirstParagraph"/>
      </w:pPr>
      <w:hyperlink r:id="rId29">
        <w:r>
          <w:rPr>
            <w:rStyle w:val="Hyperlink"/>
          </w:rPr>
          <w:t xml:space="preserve">Download this document as PDF</w:t>
        </w:r>
      </w:hyperlink>
    </w:p>
    <w:bookmarkEnd w:id="30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11/" TargetMode="External"/><Relationship Id="rId23" Type="http://schemas.openxmlformats.org/officeDocument/2006/relationships/hyperlink" Target="/standards/standard-11/#c11-7" TargetMode="External"/><Relationship Id="rId29" Type="http://schemas.openxmlformats.org/officeDocument/2006/relationships/hyperlink" Target="https://france-asf.fr/wp-content/uploads/2026/10/pro-frm-005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11/" TargetMode="External"/><Relationship Id="rId23" Type="http://schemas.openxmlformats.org/officeDocument/2006/relationships/hyperlink" Target="/standards/standard-11/#c11-7" TargetMode="External"/><Relationship Id="rId29" Type="http://schemas.openxmlformats.org/officeDocument/2006/relationships/hyperlink" Target="https://france-asf.fr/wp-content/uploads/2026/10/pro-frm-005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PRO-FRM-005: Sterile technique audit record</dc:title>
  <dc:creator/>
  <cp:keywords/>
  <dcterms:created xsi:type="dcterms:W3CDTF">2026-10-28T21:33:59Z</dcterms:created>
  <dcterms:modified xsi:type="dcterms:W3CDTF">2026-10-28T21:33:59Z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