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PRO-SOP-001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11.2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პროდუქტი მოწმდება წყაროზე, ვადაზე და პარტიაზე გამოყენებამდე (PRO-FRM-002).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გამოიყენება მხოლოდ ლიცენზირებული პროდუქტები დამტკიცებული მომწოდებლისგან.</w:t>
      </w:r>
    </w:p>
    <w:p>
      <w:pPr>
        <w:numPr>
          <w:ilvl w:val="0"/>
          <w:numId w:val="1001"/>
        </w:numPr>
        <w:pStyle w:val="Compact"/>
      </w:pPr>
      <w:r>
        <w:t xml:space="preserve">ლიცენზიის არმქონე ან შეუმოწმებელი პროდუქტები კარანტინში ხდება და არასდროს გამოიყენება.</w:t>
      </w:r>
    </w:p>
    <w:p>
      <w:pPr>
        <w:numPr>
          <w:ilvl w:val="0"/>
          <w:numId w:val="1001"/>
        </w:numPr>
        <w:pStyle w:val="Compact"/>
      </w:pPr>
      <w:r>
        <w:t xml:space="preserve">პროდუქტები ინახება მწარმოებლის მოთხოვნის შესაბამისად (PHM-SOP-001).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გამოიყენება ლიცენზიის არმქონე ან შეუმოწმებელი პროდუქტი, ან ვადაგასული პროდუქტი.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პროდუქტი იყოს ნამდვილი, ვადაში და სწორად შენახული (11.2).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ინექციებსა და პროცედურებში გამოყენებული პროდუქტები უნდა იყოს ნამდვილი, ვადაში და შენახული მწარმოებლის მოთხოვნით. ლიცენზიის არმქონე ან ვადაგასულმა პროდუქტმა შეიძლება გამოიწვიოს ზიანი, რომლის თვალყურის დევნება ძნელია.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ფარმაცევტი ან მარაგის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პროდუქტებს და ინარჩუნებს პარტიის რეგისტრს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ფარმაცევტი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ყოველ პროდუქტს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შეამოწმეთ მიღებისას.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წყარო, ვადა და პარტია მიღებისას და ჩაწერეთ PRO-REG-001-ში.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მიღებისას.</w:t>
      </w:r>
    </w:p>
    <w:p>
      <w:pPr>
        <w:pStyle w:val="BodyText"/>
      </w:pPr>
      <w:r>
        <w:t xml:space="preserve">ნაბიჯი 2. შეამოწმეთ გამოყენებამდე.</w:t>
      </w:r>
    </w:p>
    <w:p>
      <w:pPr>
        <w:numPr>
          <w:ilvl w:val="0"/>
          <w:numId w:val="1005"/>
        </w:numPr>
        <w:pStyle w:val="Compact"/>
      </w:pPr>
      <w:r>
        <w:t xml:space="preserve">ყოველ გამოყენებამდე შეადარეთ პროდუქტის ეტიკეტი ჩანაწერს.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 გამოყენებამდე.</w:t>
      </w:r>
    </w:p>
    <w:p>
      <w:pPr>
        <w:pStyle w:val="BodyText"/>
      </w:pPr>
      <w:r>
        <w:t xml:space="preserve">ნაბიჯი 3. კარანტინი.</w:t>
      </w:r>
    </w:p>
    <w:p>
      <w:pPr>
        <w:numPr>
          <w:ilvl w:val="0"/>
          <w:numId w:val="1006"/>
        </w:numPr>
        <w:pStyle w:val="Compact"/>
      </w:pPr>
      <w:r>
        <w:t xml:space="preserve">მოათავსეთ კარანტინში ყოველი ლიცენზიის არმქონე ან შეუმოწმებელი პროდუქტი და ჩაწერეთ იგი.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კარანტინი, არასდროს გამოიყენება.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პროდუქტები, რომელთა პარტია და ვადა ჩაწერილია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ფარმაცევტი ან მარაგის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PRO-FRM-002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პროდუქტის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PRO-REG-001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პროდუქტის პარტიის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ASF ექსპერტთა კომიტეტის კონსენსუსსა და WHO-ს სახელმძღვანელოზე უსაფრთხო ქირურგიული მოვლისა და უსაფრთხო პროცედურების შესახებ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მომწოდებლის შეფასება და შესყიდვა</w:t>
        </w:r>
      </w:hyperlink>
      <w:r>
        <w:t xml:space="preserve"> </w:t>
      </w:r>
      <w:r>
        <w:t xml:space="preserve">(T-13)</w:t>
      </w:r>
    </w:p>
    <w:p>
      <w:pPr>
        <w:numPr>
          <w:ilvl w:val="0"/>
          <w:numId w:val="1010"/>
        </w:numPr>
        <w:pStyle w:val="Compact"/>
      </w:pPr>
      <w:r>
        <w:t xml:space="preserve">მედიკამენტების უსაფრთხოება და შენახვა სტუმართა ობიექტებში</w:t>
      </w:r>
      <w:r>
        <w:t xml:space="preserve"> </w:t>
      </w:r>
      <w:r>
        <w:t xml:space="preserve">(MED-03)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pro-frm-002/" TargetMode="External" /><Relationship Type="http://schemas.openxmlformats.org/officeDocument/2006/relationships/hyperlink" Id="rId40" Target="/ka/documents/pro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2" TargetMode="External" /><Relationship Type="http://schemas.openxmlformats.org/officeDocument/2006/relationships/hyperlink" Id="rId44" Target="https://academy.gmj.ge/courses/asf-t-13-en/" TargetMode="External" /><Relationship Type="http://schemas.openxmlformats.org/officeDocument/2006/relationships/hyperlink" Id="rId47" Target="https://france-asf.fr/wp-content/uploads/2026/10/pro-sop-001-form-1.docx" TargetMode="External" /><Relationship Type="http://schemas.openxmlformats.org/officeDocument/2006/relationships/hyperlink" Id="rId46" Target="https://france-asf.fr/wp-content/uploads/2026/10/pro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pro-frm-002/" TargetMode="External" /><Relationship Type="http://schemas.openxmlformats.org/officeDocument/2006/relationships/hyperlink" Id="rId40" Target="/ka/documents/pro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2" TargetMode="External" /><Relationship Type="http://schemas.openxmlformats.org/officeDocument/2006/relationships/hyperlink" Id="rId44" Target="https://academy.gmj.ge/courses/asf-t-13-en/" TargetMode="External" /><Relationship Type="http://schemas.openxmlformats.org/officeDocument/2006/relationships/hyperlink" Id="rId47" Target="https://france-asf.fr/wp-content/uploads/2026/10/pro-sop-001-form-1.docx" TargetMode="External" /><Relationship Type="http://schemas.openxmlformats.org/officeDocument/2006/relationships/hyperlink" Id="rId46" Target="https://france-asf.fr/wp-content/uploads/2026/10/pro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2026-11-07T01:38:21Z</dcterms:created>
  <dcterms:modified xsi:type="dcterms:W3CDTF">2026-11-07T01:38:21Z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