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PSY-SOP-002: ფსიქიატრიული მედიკამენტები: ურთიერთქმედებისა და მონიტორინგის პროტოკოლი</w:t>
      </w:r>
      <w:r/>
      <w:r/>
      <w:r/>
      <w:r/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>ფსიქიატრიული მედიკამენტები: ურთიერთქმედებისა და მონიტორინგის პროტოკოლი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PSY-SOP-002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 › </w:t>
      </w:r>
      <w:r/>
      <w:r/>
      <w:hyperlink r:id="rId21">
        <w:r>
          <w:rPr>
            <w:rStyle w:val="Hyperlink"/>
          </w:rPr>
          <w:t xml:space="preserve">Standard 52</w:t>
        </w:r>
      </w:hyperlink>
      <w:r/>
      <w:r/>
      <w:r/>
      <w:hyperlink r:id="rId22">
        <w:r>
          <w:rPr>
            <w:rStyle w:val="Hyperlink"/>
          </w:rPr>
          <w:t xml:space="preserve">Standard operating procedures (SOPs)</w:t>
        </w:r>
      </w:hyperlink>
    </w:p>
    <w:p>
      <w:pPr>
        <w:pStyle w:val="BodyText"/>
      </w:pPr>
      <w:r>
        <w:t>სტანდარტული საოპერაციო პროცედურა (SOP) · PSY-SOP-002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52.4</w:t>
        </w:r>
      </w:hyperlink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მნიშვნელოვანი ურთიერთქმედების რისკის ან სპეციფიკური მონიტორინგის საჭიროების მქონე წამლები იმართება ამ პროტოკოლით.</w:t>
      </w:r>
    </w:p>
    <w:p>
      <w:pPr>
        <w:numPr>
          <w:ilvl w:val="0"/>
          <w:numId w:val="1001"/>
        </w:numPr>
        <w:pStyle w:val="Compact"/>
      </w:pPr>
      <w:r>
        <w:t>თითოეული რეცეპტი მოწმდება ურთიერთქმედებაზე მის დაწყებამდე (HOS-POL-001).</w:t>
      </w:r>
    </w:p>
    <w:p>
      <w:pPr>
        <w:numPr>
          <w:ilvl w:val="0"/>
          <w:numId w:val="1001"/>
        </w:numPr>
        <w:pStyle w:val="Compact"/>
      </w:pPr>
      <w:r>
        <w:t>მონიტორინგის ტესტები განისაზღვრება თითოეული წამლისთვის და აღირიცხება (PSY-FRM-003).</w:t>
      </w:r>
    </w:p>
    <w:p>
      <w:pPr>
        <w:numPr>
          <w:ilvl w:val="0"/>
          <w:numId w:val="1001"/>
        </w:numPr>
        <w:pStyle w:val="Compact"/>
      </w:pPr>
      <w:r>
        <w:t>პროტოკოლი ყოველწლიურად გადაიხედება.</w:t>
      </w:r>
    </w:p>
    <w:p>
      <w:pPr>
        <w:numPr>
          <w:ilvl w:val="0"/>
          <w:numId w:val="1001"/>
        </w:numPr>
        <w:pStyle w:val="Compact"/>
      </w:pPr>
      <w:r>
        <w:t>დაუყოვნებლივ შეაჩერეთ საქმიანობა და გამოიძახეთ დახმარება, თუ: ფსიქიატრიული წამალი, რომელსაც სჭირდება მონიტორინგის ტესტი, ეძლევა ტესტის დანიშვნის გარეშე.</w:t>
      </w:r>
    </w:p>
    <w:bookmarkStart w:id="24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იმისთვის, რომ ფსიქიატრიული წამლები ურთიერთქმედების რისკით ან სავალდებულო მონიტორინგით შემოწმდეს და კონტროლდეს (52.4).</w:t>
      </w:r>
    </w:p>
    <w:bookmarkEnd w:id="24"/>
    <w:bookmarkStart w:id="25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ყოველთვის, როცა სრულდება აღწერილი საქმიანობა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საქმიანობა, რომელსაც მოიცავს სხვა დოკუმენტი, ჩამოთვლილი მე-15 განყოფილებაში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ექიმი ან ექთანი, რომელიც ამ დროს უძღვება უბანს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ზოგი ფსიქიატრიული წამალი ურთიერთქმედებს სხვებთან ან საჭიროებს ფრთხილ მონიტორინგს, მაგალითად სისხლის ანალიზებს. ამისთვის განსაზღვრული პროცესი მკურნალობას უსაფრთხოს ხდის.</w:t>
      </w:r>
    </w:p>
    <w:bookmarkEnd w:id="27"/>
    <w:bookmarkStart w:id="28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 ფსიქიატრი</w:t>
            </w:r>
          </w:p>
        </w:tc>
        <w:tc>
          <w:tcPr/>
          <w:p>
            <w:pPr>
              <w:pStyle w:val="Compact"/>
              <w:jc w:val="left"/>
            </w:pPr>
            <w:r>
              <w:t>ნიშნავს და ადგენს მონიტორინგის გეგმას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განყოფილების ფარმაცევტი</w:t>
            </w:r>
          </w:p>
        </w:tc>
        <w:tc>
          <w:tcPr/>
          <w:p>
            <w:pPr>
              <w:pStyle w:val="Compact"/>
              <w:jc w:val="left"/>
            </w:pPr>
            <w:r>
              <w:t>ამოწმებს ურთიერთქმედებებს და აკონტროლებს მონიტორინგს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შემოწმებულია გამოყენებამდე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თუ პაციენტი პირდაპირ საფრთხის ქვეშაა, შეაჩერეთ საქმიანობა და გამოიძახეთ დახმარება. გადაუდებელი მოვლა არ გადადოთ დოკუმენტაციის შევსების გამო.</w:t>
      </w:r>
    </w:p>
    <w:bookmarkEnd w:id="30"/>
    <w:bookmarkStart w:id="31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დარწმუნდით, რომ ამ დოკუმენტში მითითებული ფორმები და აღჭურვილობა ხელმისაწვდომია და მიმდინარეა.</w:t>
      </w:r>
    </w:p>
    <w:bookmarkEnd w:id="31"/>
    <w:bookmarkStart w:id="32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ნაბიჯი 1. შემოწმება.</w:t>
      </w:r>
    </w:p>
    <w:p>
      <w:pPr>
        <w:numPr>
          <w:ilvl w:val="0"/>
          <w:numId w:val="1004"/>
        </w:numPr>
        <w:pStyle w:val="Compact"/>
      </w:pPr>
      <w:r>
        <w:t>შეამოწმეთ თითოეული რეცეპტი ურთიერთქმედებაზე და აღრიცხეთ შედეგი.</w:t>
      </w:r>
    </w:p>
    <w:p>
      <w:pPr>
        <w:pStyle w:val="FirstParagraph"/>
      </w:pPr>
      <w:r>
        <w:rPr>
          <w:bCs/>
          <w:b/>
        </w:rPr>
        <w:t>მთავარი: შემოწმებულია.</w:t>
      </w:r>
      <w:r/>
      <w:r/>
    </w:p>
    <w:p>
      <w:pPr>
        <w:pStyle w:val="BodyText"/>
      </w:pPr>
      <w:r>
        <w:t>ნაბიჯი 2. დაგეგმეთ.</w:t>
      </w:r>
    </w:p>
    <w:p>
      <w:pPr>
        <w:numPr>
          <w:ilvl w:val="0"/>
          <w:numId w:val="1005"/>
        </w:numPr>
        <w:pStyle w:val="Compact"/>
      </w:pPr>
      <w:r>
        <w:t>დააყენეთ მონიტორინგის ტესტი და თარიღი თითოეული იმ წამლისთვის, რომელსაც ეს სჭირდება.</w:t>
      </w:r>
    </w:p>
    <w:p>
      <w:pPr>
        <w:pStyle w:val="FirstParagraph"/>
      </w:pPr>
      <w:r>
        <w:rPr>
          <w:bCs/>
          <w:b/>
        </w:rPr>
        <w:t>მთავარი: დაგეგმილია.</w:t>
      </w:r>
      <w:r/>
      <w:r/>
    </w:p>
    <w:p>
      <w:pPr>
        <w:pStyle w:val="BodyText"/>
      </w:pPr>
      <w:r>
        <w:t>ნაბიჯი 3. მონიტორინგი.</w:t>
      </w:r>
    </w:p>
    <w:p>
      <w:pPr>
        <w:numPr>
          <w:ilvl w:val="0"/>
          <w:numId w:val="1006"/>
        </w:numPr>
        <w:pStyle w:val="Compact"/>
      </w:pPr>
      <w:r>
        <w:t>ჩაატარეთ და აღრიცხეთ თითოეული მონიტორინგის ტესტი (PSY-FRM-003).</w:t>
      </w:r>
    </w:p>
    <w:p>
      <w:pPr>
        <w:pStyle w:val="FirstParagraph"/>
      </w:pPr>
      <w:r>
        <w:rPr>
          <w:bCs/>
          <w:b/>
        </w:rPr>
        <w:t>მთავარი: მონიტორინგი ჩატარებულია.</w:t>
      </w:r>
      <w:r/>
      <w:r/>
    </w:p>
    <w:bookmarkEnd w:id="32"/>
    <w:bookmarkStart w:id="33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>ამ პროცედურაში გადაწყვეტილების წერტილები არ არის.</w:t>
      </w:r>
    </w:p>
    <w:bookmarkEnd w:id="33"/>
    <w:bookmarkStart w:id="34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იგივე ნაბიჯებს. გამოიყენეთ უბნის კედელზე მითითებული მორიგე საკონტაქტო ინფორმაცია.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08"/>
        </w:numPr>
        <w:pStyle w:val="Compact"/>
      </w:pPr>
      <w:r>
        <w:t>ყოველი სერიოზული პრობლემა დაუყოვნებლივ გადაეცემა მორიგე კლინიკურ ხელმძღვანელს, ხოლო იმავე დღეს — კლინიკურ დირექტორს.</w:t>
      </w:r>
    </w:p>
    <w:bookmarkEnd w:id="35"/>
    <w:bookmarkStart w:id="36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რეცეპტები შემოწმებულია ურთიერთქმედებაზე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განყოფილების ფარმაცევტი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პასუხისმგებელ ფსიქიატრთან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მონიტორინგის ტესტები ჩატარებულია გრაფიკით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განყოფილების ფარმაცევტი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კლინიკურ ხელმძღვანელთან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6"/>
    <w:bookmarkStart w:id="37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პაციენტის ისტორია ან უბნის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ჩანაწერების პოლიტიკით დადგენილი პერიოდი, წლები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7"/>
    <w:bookmarkStart w:id="38" w:name="training"/>
    <w:p>
      <w:pPr>
        <w:pStyle w:val="Heading2"/>
      </w:pPr>
      <w:r>
        <w:t>15. სწავლება</w:t>
      </w:r>
    </w:p>
    <w:p>
      <w:pPr>
        <w:numPr>
          <w:ilvl w:val="0"/>
          <w:numId w:val="1009"/>
        </w:numPr>
        <w:pStyle w:val="Compact"/>
      </w:pPr>
      <w:r>
        <w:t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8"/>
    <w:bookmarkStart w:id="41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PSY-FRM-003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ფსიქიატრიული მედიკამენტების მონიტორინგის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HOS-POL-001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მედიკამენტების მართვის პოლიტიკა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>პოლიტიკა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1"/>
    <w:bookmarkStart w:id="42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3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5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10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10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44">
        <w:r>
          <w:rPr>
            <w:rStyle w:val="Hyperlink"/>
          </w:rPr>
          <w:t xml:space="preserve">Download this document as PDF</w:t>
        </w:r>
      </w:hyperlink>
    </w:p>
    <w:bookmarkEnd w:id="45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40" Type="http://schemas.openxmlformats.org/officeDocument/2006/relationships/hyperlink" Target="/documents/hos-pol-001/" TargetMode="External"/><Relationship Id="rId39" Type="http://schemas.openxmlformats.org/officeDocument/2006/relationships/hyperlink" Target="/documents/psy-frm-003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52/" TargetMode="External"/><Relationship Id="rId23" Type="http://schemas.openxmlformats.org/officeDocument/2006/relationships/hyperlink" Target="/standards/standard-52/#c52-4" TargetMode="External"/><Relationship Id="rId44" Type="http://schemas.openxmlformats.org/officeDocument/2006/relationships/hyperlink" Target="https://france-asf.fr/wp-content/uploads/2026/10/psy-sop-002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40" Type="http://schemas.openxmlformats.org/officeDocument/2006/relationships/hyperlink" Target="/documents/hos-pol-001/" TargetMode="External"/><Relationship Id="rId39" Type="http://schemas.openxmlformats.org/officeDocument/2006/relationships/hyperlink" Target="/documents/psy-frm-003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52/" TargetMode="External"/><Relationship Id="rId23" Type="http://schemas.openxmlformats.org/officeDocument/2006/relationships/hyperlink" Target="/standards/standard-52/#c52-4" TargetMode="External"/><Relationship Id="rId44" Type="http://schemas.openxmlformats.org/officeDocument/2006/relationships/hyperlink" Target="https://france-asf.fr/wp-content/uploads/2026/10/psy-sop-00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PSY-SOP-002: Psychiatric medicines: interaction and monitoring protocol</dc:title>
  <dc:creator/>
  <cp:keywords/>
  <dcterms:created xsi:type="dcterms:W3CDTF">2026-10-28T21:32:57Z</dcterms:created>
  <dcterms:modified xsi:type="dcterms:W3CDTF">2026-10-28T21:32:57Z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