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X97efe49fe06c6734a4b378d01dcebbfebbb7447"/>
    <w:p>
      <w:pPr>
        <w:pStyle w:val="Heading1"/>
      </w:pPr>
      <w:r>
        <w:t xml:space="preserve">PTR-POL-002: გადაყვანის დაზღვევა, ტრანსსასაზღვრო და მონაცემთა გაზიარების წესები</w:t>
      </w:r>
    </w:p>
    <w:p>
      <w:pPr>
        <w:pStyle w:val="FirstParagraph"/>
      </w:pPr>
      <w:hyperlink r:id="rId20">
        <w:r>
          <w:rPr>
            <w:rStyle w:val="Hyperlink"/>
          </w:rPr>
          <w:t xml:space="preserve">სტანდარტები</w:t>
        </w:r>
      </w:hyperlink>
      <w:r>
        <w:t xml:space="preserve"> </w:t>
      </w:r>
      <w:r>
        <w:t xml:space="preserve">›</w:t>
      </w:r>
      <w:r>
        <w:t xml:space="preserve"> </w:t>
      </w:r>
      <w:r>
        <w:t xml:space="preserve">სტანდარტი S6</w:t>
      </w:r>
      <w:r>
        <w:t xml:space="preserve"> </w:t>
      </w:r>
      <w:r>
        <w:t xml:space="preserve">›</w:t>
      </w:r>
      <w:r>
        <w:t xml:space="preserve"> </w:t>
      </w:r>
      <w:hyperlink r:id="rId21">
        <w:r>
          <w:rPr>
            <w:rStyle w:val="Hyperlink"/>
          </w:rPr>
          <w:t xml:space="preserve">პოლიტიკები</w:t>
        </w:r>
      </w:hyperlink>
    </w:p>
    <w:p>
      <w:pPr>
        <w:pStyle w:val="BodyText"/>
      </w:pPr>
      <w:r>
        <w:t xml:space="preserve">პოლიტიკა · PTR-POL-002 · ვერსია 1.0 · დამტკიცებულია ASF ექსპერტთა კომიტეტის მიერ</w:t>
      </w:r>
    </w:p>
    <w:p>
      <w:pPr>
        <w:pStyle w:val="BodyText"/>
      </w:pPr>
      <w:r>
        <w:rPr>
          <w:bCs/>
          <w:b/>
        </w:rPr>
        <w:t xml:space="preserve">მხარს უჭერს:</w:t>
      </w:r>
      <w:r>
        <w:t xml:space="preserve"> </w:t>
      </w:r>
      <w:r>
        <w:t xml:space="preserve">სისტემა S6 (პაციენტების გადაყვანა და მიმართვები), კრიტერიუმი S6.44, S6.42, S6.43, S6.35</w:t>
      </w:r>
    </w:p>
    <w:p>
      <w:pPr>
        <w:pStyle w:val="BodyText"/>
      </w:pPr>
      <w:r>
        <w:t xml:space="preserve">მოკლედ</w:t>
      </w:r>
    </w:p>
    <w:p>
      <w:pPr>
        <w:numPr>
          <w:ilvl w:val="0"/>
          <w:numId w:val="1001"/>
        </w:numPr>
        <w:pStyle w:val="Compact"/>
      </w:pPr>
      <w:r>
        <w:t xml:space="preserve">დაზღვევა ფარავს ყოველ სეგმენტს, მათ შორის ჰაერს და თანმხლებ პირს, და დასტურდება გასვლამდე.</w:t>
      </w:r>
    </w:p>
    <w:p>
      <w:pPr>
        <w:numPr>
          <w:ilvl w:val="0"/>
          <w:numId w:val="1001"/>
        </w:numPr>
        <w:pStyle w:val="Compact"/>
      </w:pPr>
      <w:r>
        <w:t xml:space="preserve">თანმხლები პირის უფლება, იმუშაოს მკურნალობის ქვეყანაში, მოწმდება და დოკუმენტირდება.</w:t>
      </w:r>
    </w:p>
    <w:p>
      <w:pPr>
        <w:numPr>
          <w:ilvl w:val="0"/>
          <w:numId w:val="1001"/>
        </w:numPr>
        <w:pStyle w:val="Compact"/>
      </w:pPr>
      <w:r>
        <w:t xml:space="preserve">საზღვარგადასული მედიკამენტებსა და აღჭურვილობას აქვს ორივე ქვეყნის დოკუმენტაცია.</w:t>
      </w:r>
    </w:p>
    <w:p>
      <w:pPr>
        <w:numPr>
          <w:ilvl w:val="0"/>
          <w:numId w:val="1001"/>
        </w:numPr>
        <w:pStyle w:val="Compact"/>
      </w:pPr>
      <w:r>
        <w:t xml:space="preserve">პაციენტის მონაცემები ზიარდება ორივე ქვეყნის მონაცემთა დაცვის წესების შესაბამისად.</w:t>
      </w:r>
    </w:p>
    <w:p>
      <w:pPr>
        <w:numPr>
          <w:ilvl w:val="0"/>
          <w:numId w:val="1001"/>
        </w:numPr>
        <w:pStyle w:val="Compact"/>
      </w:pPr>
      <w:r>
        <w:t xml:space="preserve">დაუყოვნებლივ შეაჩერეთ და მიმართეთ დახმარებას, თუ: გადაყვანა გადის სეგმენტით დაუზღვეველი, თანმხლები პირით, რომელსაც მუშაობის უფლება არ აქვს, ან მედიკამენტებით საზღვრის დოკუმენტაციის გარეშე.</w:t>
      </w:r>
    </w:p>
    <w:bookmarkStart w:id="22" w:name="მიზანი"/>
    <w:p>
      <w:pPr>
        <w:pStyle w:val="Heading2"/>
      </w:pPr>
      <w:r>
        <w:t xml:space="preserve">1. მიზანი</w:t>
      </w:r>
    </w:p>
    <w:p>
      <w:pPr>
        <w:pStyle w:val="FirstParagraph"/>
      </w:pPr>
      <w:r>
        <w:t xml:space="preserve">ტრანსსასაზღვრო და მრავალსეგმენტიანი გადაყვანების კანონიერად, დაზღვეულად და მონაცემების უსაფრთხოდ შენარჩუნება (S6.44, S6.42, S6.43, S6.35).</w:t>
      </w:r>
    </w:p>
    <w:bookmarkEnd w:id="22"/>
    <w:bookmarkStart w:id="23" w:name="სფერო"/>
    <w:p>
      <w:pPr>
        <w:pStyle w:val="Heading2"/>
      </w:pPr>
      <w:r>
        <w:t xml:space="preserve">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საავადმყოფოს კლინიკური და დამხმარე პერსონალი</w:t>
            </w:r>
          </w:p>
        </w:tc>
      </w:tr>
      <w:tr>
        <w:tc>
          <w:tcPr/>
          <w:p>
            <w:pPr>
              <w:pStyle w:val="Compact"/>
              <w:jc w:val="left"/>
            </w:pPr>
            <w:r>
              <w:t xml:space="preserve">ადგილები</w:t>
            </w:r>
          </w:p>
        </w:tc>
        <w:tc>
          <w:tcPr/>
          <w:p>
            <w:pPr>
              <w:pStyle w:val="Compact"/>
              <w:jc w:val="left"/>
            </w:pPr>
            <w:r>
              <w:t xml:space="preserve">დაწესებულების ყველა პალატა, კლინიკა და განყოფილება</w:t>
            </w:r>
          </w:p>
        </w:tc>
      </w:tr>
      <w:tr>
        <w:tc>
          <w:tcPr/>
          <w:p>
            <w:pPr>
              <w:pStyle w:val="Compact"/>
              <w:jc w:val="left"/>
            </w:pPr>
            <w:r>
              <w:t xml:space="preserve">როდის</w:t>
            </w:r>
          </w:p>
        </w:tc>
        <w:tc>
          <w:tcPr/>
          <w:p>
            <w:pPr>
              <w:pStyle w:val="Compact"/>
              <w:jc w:val="left"/>
            </w:pPr>
            <w:r>
              <w:t xml:space="preserve">ყოველთვის, როცა სრულდება აღწერილი საქმიანობა</w:t>
            </w:r>
          </w:p>
        </w:tc>
      </w:tr>
      <w:tr>
        <w:tc>
          <w:tcPr/>
          <w:p>
            <w:pPr>
              <w:pStyle w:val="Compact"/>
              <w:jc w:val="left"/>
            </w:pPr>
            <w:r>
              <w:t xml:space="preserve">არ ვრცელდება</w:t>
            </w:r>
          </w:p>
        </w:tc>
        <w:tc>
          <w:tcPr/>
          <w:p>
            <w:pPr>
              <w:pStyle w:val="Compact"/>
              <w:jc w:val="left"/>
            </w:pPr>
            <w:r>
              <w:t xml:space="preserve">საქმიანობა, რომელსაც მოიცავს სხვა დოკუმენტი, ჩამოთვლილი მე-15 განყოფილებაში</w:t>
            </w:r>
          </w:p>
        </w:tc>
      </w:tr>
    </w:tbl>
    <w:bookmarkEnd w:id="23"/>
    <w:bookmarkStart w:id="24"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კლინიკური ხელმძღვანელი</w:t>
            </w:r>
          </w:p>
        </w:tc>
        <w:tc>
          <w:tcPr/>
          <w:p>
            <w:pPr>
              <w:pStyle w:val="Compact"/>
              <w:jc w:val="left"/>
            </w:pPr>
            <w:r>
              <w:t xml:space="preserve">ექიმი ან ექთანი, რომელიც ამ დროს უძღვება უბანს</w:t>
            </w:r>
          </w:p>
        </w:tc>
      </w:tr>
    </w:tbl>
    <w:bookmarkEnd w:id="24"/>
    <w:bookmarkStart w:id="25" w:name="საფუძვლები"/>
    <w:p>
      <w:pPr>
        <w:pStyle w:val="Heading2"/>
      </w:pPr>
      <w:r>
        <w:t xml:space="preserve">4. საფუძვლები</w:t>
      </w:r>
    </w:p>
    <w:p>
      <w:pPr>
        <w:pStyle w:val="FirstParagraph"/>
      </w:pPr>
      <w:r>
        <w:t xml:space="preserve">საზღვარგადასული პაციენტი ინფორმაციას ატარებს, რომელიც მიმღებმა გუნდმა უნდა წაიკითხოს და რომელიც დაცული უნდა იყოს. ჩანაწერები ენაზე, რომელსაც მიმღები გუნდი ვერ კითხულობს, ან მონაცემთა დაცვის გარეშე გაზიარებული, ზიანს აყენებს და არღვევს კანონს.</w:t>
      </w:r>
    </w:p>
    <w:bookmarkEnd w:id="25"/>
    <w:bookmarkStart w:id="26"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პასუხისმგებელი მენეჯერი</w:t>
            </w:r>
          </w:p>
        </w:tc>
        <w:tc>
          <w:tcPr/>
          <w:p>
            <w:pPr>
              <w:pStyle w:val="Compact"/>
              <w:jc w:val="left"/>
            </w:pPr>
            <w:r>
              <w:t xml:space="preserve">ფლობს პოლიტიკასა და დაზღვევის შემოწმებას</w:t>
            </w:r>
          </w:p>
        </w:tc>
        <w:tc>
          <w:tcPr/>
          <w:p>
            <w:pPr>
              <w:pStyle w:val="Compact"/>
              <w:jc w:val="left"/>
            </w:pPr>
            <w:r>
              <w:t xml:space="preserve">მენეჯმენტი</w:t>
            </w:r>
          </w:p>
        </w:tc>
      </w:tr>
      <w:tr>
        <w:tc>
          <w:tcPr/>
          <w:p>
            <w:pPr>
              <w:pStyle w:val="Compact"/>
              <w:jc w:val="left"/>
            </w:pPr>
            <w:r>
              <w:t xml:space="preserve">დისპეტჩერიზაციის ხელმძღვანელი</w:t>
            </w:r>
          </w:p>
        </w:tc>
        <w:tc>
          <w:tcPr/>
          <w:p>
            <w:pPr>
              <w:pStyle w:val="Compact"/>
              <w:jc w:val="left"/>
            </w:pPr>
            <w:r>
              <w:t xml:space="preserve">გასვლამდე ადასტურებს დაფარვასა და დოკუმენტაციას</w:t>
            </w:r>
          </w:p>
        </w:tc>
        <w:tc>
          <w:tcPr/>
          <w:p>
            <w:pPr>
              <w:pStyle w:val="Compact"/>
              <w:jc w:val="left"/>
            </w:pPr>
            <w:r>
              <w:t xml:space="preserve">გადამზადებული დისპეტჩერი</w:t>
            </w:r>
          </w:p>
        </w:tc>
      </w:tr>
    </w:tbl>
    <w:bookmarkEnd w:id="26"/>
    <w:bookmarkStart w:id="27"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ერთეული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ამ დოკუმენტში მითითებული ჩანაწერები და ფორმები</w:t>
            </w:r>
          </w:p>
        </w:tc>
        <w:tc>
          <w:tcPr/>
          <w:p>
            <w:pPr>
              <w:pStyle w:val="Compact"/>
              <w:jc w:val="left"/>
            </w:pPr>
            <w:r>
              <w:t xml:space="preserve">მიმდინარე ვერსია</w:t>
            </w:r>
          </w:p>
        </w:tc>
        <w:tc>
          <w:tcPr/>
          <w:p>
            <w:pPr>
              <w:pStyle w:val="Compact"/>
              <w:jc w:val="left"/>
            </w:pPr>
            <w:r>
              <w:t xml:space="preserve">შემოწმებულია გამოყენებამდე</w:t>
            </w:r>
          </w:p>
        </w:tc>
      </w:tr>
    </w:tbl>
    <w:bookmarkEnd w:id="27"/>
    <w:bookmarkStart w:id="28" w:name="უსაფრთხოება"/>
    <w:p>
      <w:pPr>
        <w:pStyle w:val="Heading2"/>
      </w:pPr>
      <w:r>
        <w:t xml:space="preserve">7. უსაფრთხოება</w:t>
      </w:r>
    </w:p>
    <w:p>
      <w:pPr>
        <w:numPr>
          <w:ilvl w:val="0"/>
          <w:numId w:val="1002"/>
        </w:numPr>
        <w:pStyle w:val="Compact"/>
      </w:pPr>
      <w:r>
        <w:t xml:space="preserve">თუ პაციენტი პირდაპირ საფრთხის ქვეშაა, შეაჩერეთ საქმიანობა და გამოიძახეთ დახმარება. გადაუდებელი მოვლა არ გადადოთ დოკუმენტაციის შევსების გამო.</w:t>
      </w:r>
    </w:p>
    <w:bookmarkEnd w:id="28"/>
    <w:bookmarkStart w:id="29" w:name="დაწყებამდე"/>
    <w:p>
      <w:pPr>
        <w:pStyle w:val="Heading2"/>
      </w:pPr>
      <w:r>
        <w:t xml:space="preserve">8. დაწყებამდე</w:t>
      </w:r>
    </w:p>
    <w:p>
      <w:pPr>
        <w:numPr>
          <w:ilvl w:val="0"/>
          <w:numId w:val="1003"/>
        </w:numPr>
        <w:pStyle w:val="Compact"/>
      </w:pPr>
      <w:r>
        <w:t xml:space="preserve">დარწმუნდით, რომ ამ დოკუმენტში მითითებული ფორმები და აღჭურვილობა ხელმისაწვდომია და მიმდინარეა.</w:t>
      </w:r>
    </w:p>
    <w:bookmarkEnd w:id="29"/>
    <w:bookmarkStart w:id="30" w:name="პროცედურა"/>
    <w:p>
      <w:pPr>
        <w:pStyle w:val="Heading2"/>
      </w:pPr>
      <w:r>
        <w:t xml:space="preserve">9. პროცედურა</w:t>
      </w:r>
    </w:p>
    <w:p>
      <w:pPr>
        <w:pStyle w:val="FirstParagraph"/>
      </w:pPr>
      <w:r>
        <w:t xml:space="preserve">ეტაპი 1. დაზღვევის დადასტურება.</w:t>
      </w:r>
    </w:p>
    <w:p>
      <w:pPr>
        <w:numPr>
          <w:ilvl w:val="0"/>
          <w:numId w:val="1004"/>
        </w:numPr>
        <w:pStyle w:val="Compact"/>
      </w:pPr>
      <w:r>
        <w:t xml:space="preserve">წერილობით დაადასტურეთ დაფარვა ყოველი სეგმენტისა და თანმხლები პირისთვის.</w:t>
      </w:r>
    </w:p>
    <w:p>
      <w:pPr>
        <w:numPr>
          <w:ilvl w:val="0"/>
          <w:numId w:val="1004"/>
        </w:numPr>
        <w:pStyle w:val="Compact"/>
      </w:pPr>
      <w:r>
        <w:t xml:space="preserve">დადასტურება აღნუსხეთ გადაყვანის გეგმაზე.</w:t>
      </w:r>
    </w:p>
    <w:p>
      <w:pPr>
        <w:pStyle w:val="FirstParagraph"/>
      </w:pPr>
      <w:r>
        <w:rPr>
          <w:bCs/>
          <w:b/>
        </w:rPr>
        <w:t xml:space="preserve">მთავარი:</w:t>
      </w:r>
      <w:r>
        <w:t xml:space="preserve"> </w:t>
      </w:r>
      <w:r>
        <w:t xml:space="preserve">დაფარვის გარეშე გასვლა არ არის.</w:t>
      </w:r>
    </w:p>
    <w:p>
      <w:pPr>
        <w:pStyle w:val="BodyText"/>
      </w:pPr>
      <w:r>
        <w:t xml:space="preserve">ეტაპი 2. მუშაობის უფლებების შემოწმება.</w:t>
      </w:r>
    </w:p>
    <w:p>
      <w:pPr>
        <w:numPr>
          <w:ilvl w:val="0"/>
          <w:numId w:val="1005"/>
        </w:numPr>
        <w:pStyle w:val="Compact"/>
      </w:pPr>
      <w:r>
        <w:t xml:space="preserve">შეამოწმეთ, შეუძლიათ თუ არა თანმხლებ ექიმსა და ექთანს მუშაობა მკურნალობის ქვეყანაში, ან დოკუმენტირებულია თუ არა შესაბამისი შეთანხმება.</w:t>
      </w:r>
    </w:p>
    <w:p>
      <w:pPr>
        <w:pStyle w:val="FirstParagraph"/>
      </w:pPr>
      <w:r>
        <w:rPr>
          <w:bCs/>
          <w:b/>
        </w:rPr>
        <w:t xml:space="preserve">მთავარი:</w:t>
      </w:r>
      <w:r>
        <w:t xml:space="preserve"> </w:t>
      </w:r>
      <w:r>
        <w:t xml:space="preserve">უფლება წერილობითია და არა ვარაუდით.</w:t>
      </w:r>
    </w:p>
    <w:p>
      <w:pPr>
        <w:pStyle w:val="BodyText"/>
      </w:pPr>
      <w:r>
        <w:t xml:space="preserve">ეტაპი 3. საზღვრის დოკუმენტაცია.</w:t>
      </w:r>
    </w:p>
    <w:p>
      <w:pPr>
        <w:numPr>
          <w:ilvl w:val="0"/>
          <w:numId w:val="1006"/>
        </w:numPr>
        <w:pStyle w:val="Compact"/>
      </w:pPr>
      <w:r>
        <w:t xml:space="preserve">შეავსეთ PTR-FRM-001 მედიკამენტებისა და აღჭურვილობისთვის.</w:t>
      </w:r>
    </w:p>
    <w:p>
      <w:pPr>
        <w:numPr>
          <w:ilvl w:val="0"/>
          <w:numId w:val="1006"/>
        </w:numPr>
        <w:pStyle w:val="Compact"/>
      </w:pPr>
      <w:r>
        <w:t xml:space="preserve">დოკუმენტაცია საქონელთან ერთად შეინახეთ.</w:t>
      </w:r>
    </w:p>
    <w:p>
      <w:pPr>
        <w:pStyle w:val="FirstParagraph"/>
      </w:pPr>
      <w:r>
        <w:rPr>
          <w:bCs/>
          <w:b/>
        </w:rPr>
        <w:t xml:space="preserve">მთავარი:</w:t>
      </w:r>
      <w:r>
        <w:t xml:space="preserve"> </w:t>
      </w:r>
      <w:r>
        <w:t xml:space="preserve">ქაღალდი საქონელთან ერთად მოგზაურობს.</w:t>
      </w:r>
    </w:p>
    <w:bookmarkEnd w:id="30"/>
    <w:bookmarkStart w:id="31" w:name="გადაწყვეტილების-წერტილები"/>
    <w:p>
      <w:pPr>
        <w:pStyle w:val="Heading2"/>
      </w:pPr>
      <w:r>
        <w:t xml:space="preserve">10. გადაწყვეტილების წერტილები</w:t>
      </w:r>
    </w:p>
    <w:p>
      <w:pPr>
        <w:numPr>
          <w:ilvl w:val="0"/>
          <w:numId w:val="1007"/>
        </w:numPr>
        <w:pStyle w:val="Compact"/>
      </w:pPr>
      <w:r>
        <w:t xml:space="preserve">ამ პროცედურაში გადაწყვეტილების წერტილები არ არის.</w:t>
      </w:r>
    </w:p>
    <w:bookmarkEnd w:id="31"/>
    <w:bookmarkStart w:id="32"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არასამუშაო საათები</w:t>
            </w:r>
          </w:p>
        </w:tc>
        <w:tc>
          <w:tcPr/>
          <w:p>
            <w:pPr>
              <w:pStyle w:val="Compact"/>
              <w:jc w:val="left"/>
            </w:pPr>
            <w:r>
              <w:t xml:space="preserve">მიჰყევით იგივე ნაბიჯებს. გამოიყენეთ უბნის კედელზე მითითებული მორიგე საკონტაქტო ინფორმაცია.</w:t>
            </w:r>
          </w:p>
        </w:tc>
      </w:tr>
    </w:tbl>
    <w:bookmarkEnd w:id="32"/>
    <w:bookmarkStart w:id="33" w:name="ესკალაცია"/>
    <w:p>
      <w:pPr>
        <w:pStyle w:val="Heading2"/>
      </w:pPr>
      <w:r>
        <w:t xml:space="preserve">12. ესკალაცია</w:t>
      </w:r>
    </w:p>
    <w:p>
      <w:pPr>
        <w:numPr>
          <w:ilvl w:val="0"/>
          <w:numId w:val="1008"/>
        </w:numPr>
        <w:pStyle w:val="Compact"/>
      </w:pPr>
      <w:r>
        <w:t xml:space="preserve">ყოველი სერიოზული პრობლემა დაუყოვნებლივ გადაეცემა მორიგე კლინიკურ ხელმძღვანელს, ხოლო იმავე დღეს — კლინიკურ დირექტორს.</w:t>
      </w:r>
    </w:p>
    <w:bookmarkEnd w:id="33"/>
    <w:bookmarkStart w:id="34"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სამიზნე</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გადაყვანები, რომელთა დაზღვევაც გასვლამდე დადასტურებულია</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დისპეტჩერიზაციის ხელმძღვანელი</w:t>
            </w:r>
          </w:p>
        </w:tc>
        <w:tc>
          <w:tcPr/>
          <w:p>
            <w:pPr>
              <w:pStyle w:val="Compact"/>
              <w:jc w:val="left"/>
            </w:pPr>
            <w:r>
              <w:t xml:space="preserve">ესკალირება პასუხისმგებელ მენეჯერთან</w:t>
            </w:r>
          </w:p>
        </w:tc>
      </w:tr>
      <w:tr>
        <w:tc>
          <w:tcPr/>
          <w:p>
            <w:pPr>
              <w:pStyle w:val="Compact"/>
              <w:jc w:val="left"/>
            </w:pPr>
            <w:r>
              <w:t xml:space="preserve">ტრანსსასაზღვრო გადაყვანები სრული დოკუმენტაციით</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დისპეტჩერიზაციის ხელმძღვანელი</w:t>
            </w:r>
          </w:p>
        </w:tc>
        <w:tc>
          <w:tcPr/>
          <w:p>
            <w:pPr>
              <w:pStyle w:val="Compact"/>
              <w:jc w:val="left"/>
            </w:pPr>
            <w:r>
              <w:t xml:space="preserve">ესკალირება პასუხისმგებელ მენეჯერთან</w:t>
            </w:r>
          </w:p>
        </w:tc>
      </w:tr>
    </w:tbl>
    <w:bookmarkEnd w:id="34"/>
    <w:bookmarkStart w:id="35"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ამ დოკუმენტში მითითებული ჩანაწერი</w:t>
            </w:r>
          </w:p>
        </w:tc>
        <w:tc>
          <w:tcPr/>
          <w:p>
            <w:pPr>
              <w:pStyle w:val="Compact"/>
              <w:jc w:val="left"/>
            </w:pPr>
            <w:r>
              <w:t xml:space="preserve">პაციენტის ისტორია ან უბნის საქმე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5"/>
    <w:bookmarkStart w:id="36" w:name="ტრენინგი"/>
    <w:p>
      <w:pPr>
        <w:pStyle w:val="Heading2"/>
      </w:pPr>
      <w:r>
        <w:t xml:space="preserve">15. ტრენინგი</w:t>
      </w:r>
    </w:p>
    <w:p>
      <w:pPr>
        <w:numPr>
          <w:ilvl w:val="0"/>
          <w:numId w:val="1009"/>
        </w:numPr>
        <w:pStyle w:val="Compact"/>
      </w:pPr>
      <w:r>
        <w:t xml:space="preserve">პერსონალი ამ დოკუმენტში ივარჯიშებს ჩართვისას და ყოველ წელს განახლდება, დაფიქსირებული კომპეტენციის შემოწმებით.</w:t>
      </w:r>
    </w:p>
    <w:bookmarkEnd w:id="36"/>
    <w:bookmarkStart w:id="39"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r>
        <w:tc>
          <w:tcPr/>
          <w:p>
            <w:pPr>
              <w:pStyle w:val="Compact"/>
              <w:jc w:val="left"/>
            </w:pPr>
            <w:hyperlink r:id="rId37">
              <w:r>
                <w:rPr>
                  <w:rStyle w:val="Hyperlink"/>
                </w:rPr>
                <w:t xml:space="preserve">PTR-FRM-001</w:t>
              </w:r>
            </w:hyperlink>
          </w:p>
        </w:tc>
        <w:tc>
          <w:tcPr/>
          <w:p>
            <w:pPr>
              <w:pStyle w:val="Compact"/>
              <w:jc w:val="left"/>
            </w:pPr>
            <w:r>
              <w:t xml:space="preserve">ტრანსსასაზღვრო მედიკამენტებისა და აღჭურვილობის დეკლარაცია</w:t>
            </w:r>
          </w:p>
        </w:tc>
        <w:tc>
          <w:tcPr/>
          <w:p>
            <w:pPr>
              <w:pStyle w:val="Compact"/>
              <w:jc w:val="left"/>
            </w:pPr>
            <w:r>
              <w:t xml:space="preserve">ფორმა</w:t>
            </w:r>
          </w:p>
        </w:tc>
      </w:tr>
      <w:tr>
        <w:tc>
          <w:tcPr/>
          <w:p>
            <w:pPr>
              <w:pStyle w:val="Compact"/>
              <w:jc w:val="left"/>
            </w:pPr>
            <w:hyperlink r:id="rId38">
              <w:r>
                <w:rPr>
                  <w:rStyle w:val="Hyperlink"/>
                </w:rPr>
                <w:t xml:space="preserve">HOS-POL-001</w:t>
              </w:r>
            </w:hyperlink>
          </w:p>
        </w:tc>
        <w:tc>
          <w:tcPr/>
          <w:p>
            <w:pPr>
              <w:pStyle w:val="Compact"/>
              <w:jc w:val="left"/>
            </w:pPr>
            <w:r>
              <w:t xml:space="preserve">მედიკამენტების მართვის პოლიტიკა</w:t>
            </w:r>
          </w:p>
        </w:tc>
        <w:tc>
          <w:tcPr/>
          <w:p>
            <w:pPr>
              <w:pStyle w:val="Compact"/>
              <w:jc w:val="left"/>
            </w:pPr>
            <w:r>
              <w:t xml:space="preserve">პოლიტიკა</w:t>
            </w:r>
          </w:p>
        </w:tc>
      </w:tr>
    </w:tbl>
    <w:bookmarkEnd w:id="39"/>
    <w:bookmarkStart w:id="40"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მითითება</w:t>
            </w:r>
          </w:p>
        </w:tc>
        <w:tc>
          <w:tcPr/>
          <w:p>
            <w:pPr>
              <w:pStyle w:val="Compact"/>
              <w:jc w:val="left"/>
            </w:pPr>
            <w:r>
              <w:t xml:space="preserve">შენიშვნა</w:t>
            </w:r>
          </w:p>
        </w:tc>
      </w:tr>
      <w:tr>
        <w:tc>
          <w:tcPr/>
          <w:p>
            <w:pPr>
              <w:pStyle w:val="Compact"/>
              <w:jc w:val="left"/>
            </w:pPr>
            <w:r>
              <w:t xml:space="preserve">E-009</w:t>
            </w:r>
          </w:p>
        </w:tc>
        <w:tc>
          <w:tcPr/>
          <w:p>
            <w:pPr>
              <w:pStyle w:val="Compact"/>
              <w:jc w:val="left"/>
            </w:pPr>
            <w:r>
              <w:t xml:space="preserve">ASF Expert Committee consensus.</w:t>
            </w:r>
          </w:p>
        </w:tc>
      </w:tr>
      <w:tr>
        <w:tc>
          <w:tcPr/>
          <w:p>
            <w:pPr>
              <w:pStyle w:val="Compact"/>
              <w:jc w:val="left"/>
            </w:pPr>
            <w:r>
              <w:t xml:space="preserve">E-006</w:t>
            </w:r>
          </w:p>
        </w:tc>
        <w:tc>
          <w:tcPr/>
          <w:p>
            <w:pPr>
              <w:pStyle w:val="Compact"/>
              <w:jc w:val="left"/>
            </w:pPr>
            <w:r>
              <w:t xml:space="preserve">ASF Policy Framework v1.2. Adapted.</w:t>
            </w:r>
          </w:p>
        </w:tc>
      </w:tr>
      <w:tr>
        <w:tc>
          <w:tcPr/>
          <w:p>
            <w:pPr>
              <w:pStyle w:val="Compact"/>
              <w:jc w:val="left"/>
            </w:pPr>
            <w:r>
              <w:t xml:space="preserve">E-009</w:t>
            </w:r>
          </w:p>
        </w:tc>
        <w:tc>
          <w:tcPr/>
          <w:p>
            <w:pPr>
              <w:pStyle w:val="Compact"/>
              <w:jc w:val="left"/>
            </w:pPr>
            <w:r>
              <w:t xml:space="preserve">ASF Expert Committee consensus.</w:t>
            </w:r>
          </w:p>
        </w:tc>
      </w:tr>
    </w:tbl>
    <w:bookmarkEnd w:id="40"/>
    <w:bookmarkStart w:id="41"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pPr>
          </w:p>
        </w:tc>
      </w:tr>
    </w:tbl>
    <w:bookmarkEnd w:id="41"/>
    <w:bookmarkStart w:id="42" w:name="ამ-დოკუმენტის-ელექტრონული-სწავლება"/>
    <w:p>
      <w:pPr>
        <w:pStyle w:val="Heading2"/>
      </w:pPr>
      <w:r>
        <w:t xml:space="preserve">ამ დოკუმენტის ელექტრონული სწავლება</w:t>
      </w:r>
    </w:p>
    <w:p>
      <w:pPr>
        <w:pStyle w:val="FirstParagraph"/>
      </w:pPr>
      <w:r>
        <w:t xml:space="preserve">ამ დოკუმენტთან ჯერ არ არის დაკავშირებული ელექტრონული კურსი.</w:t>
      </w:r>
    </w:p>
    <w:bookmarkEnd w:id="42"/>
    <w:bookmarkStart w:id="44" w:name="წყაროები"/>
    <w:p>
      <w:pPr>
        <w:pStyle w:val="Heading2"/>
      </w:pPr>
      <w:r>
        <w:t xml:space="preserve">წყაროები</w:t>
      </w:r>
    </w:p>
    <w:p>
      <w:pPr>
        <w:numPr>
          <w:ilvl w:val="0"/>
          <w:numId w:val="1010"/>
        </w:numPr>
        <w:pStyle w:val="Compact"/>
      </w:pPr>
      <w:r>
        <w:t xml:space="preserve">Accréditation Sans Frontières (2026). ASF Policy Framework v1.2.</w:t>
      </w:r>
      <w:r>
        <w:t xml:space="preserve"> </w:t>
      </w:r>
      <w:r>
        <w:t xml:space="preserve">(E-006)</w:t>
      </w:r>
    </w:p>
    <w:p>
      <w:pPr>
        <w:numPr>
          <w:ilvl w:val="0"/>
          <w:numId w:val="1010"/>
        </w:numPr>
        <w:pStyle w:val="Compact"/>
      </w:pPr>
      <w:r>
        <w:t xml:space="preserve">Accréditation Sans Frontières (2026). ASF Expert Committee consensus on Standard 1.</w:t>
      </w:r>
      <w:r>
        <w:t xml:space="preserve"> </w:t>
      </w:r>
      <w:r>
        <w:t xml:space="preserve">(E-009)</w:t>
      </w:r>
    </w:p>
    <w:p>
      <w:pPr>
        <w:pStyle w:val="FirstParagraph"/>
      </w:pPr>
      <w:r>
        <w:t xml:space="preserve">დაკავშირებული სტანდარტი</w:t>
      </w:r>
    </w:p>
    <w:p>
      <w:pPr>
        <w:numPr>
          <w:ilvl w:val="0"/>
          <w:numId w:val="1011"/>
        </w:numPr>
        <w:pStyle w:val="Compact"/>
      </w:pPr>
      <w:hyperlink r:id="rId43">
        <w:r>
          <w:rPr>
            <w:rStyle w:val="Hyperlink"/>
          </w:rPr>
          <w:t xml:space="preserve">სტანდარტი 7: საგანგებო დისპეტჩერიზაცია</w:t>
        </w:r>
      </w:hyperlink>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Sylfaen" w:hAnsi="Sylfaen"/>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Sylfaen" w:hAnsi="Sylfaen"/>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8" Type="http://schemas.openxmlformats.org/officeDocument/2006/relationships/hyperlink" Target="/documents/hos-pol-001/" TargetMode="External"/><Relationship Id="rId37" Type="http://schemas.openxmlformats.org/officeDocument/2006/relationships/hyperlink" Target="/documents/ptr-frm-001/" TargetMode="External"/><Relationship Id="rId21" Type="http://schemas.openxmlformats.org/officeDocument/2006/relationships/hyperlink" Target="/ka/resources/policies/" TargetMode="External"/><Relationship Id="rId20" Type="http://schemas.openxmlformats.org/officeDocument/2006/relationships/hyperlink" Target="/ka/standards/" TargetMode="External"/><Relationship Id="rId43" Type="http://schemas.openxmlformats.org/officeDocument/2006/relationships/hyperlink" Target="/ka/standards/standard-7/" TargetMode="External"/></Relationships>
</file>

<file path=word/_rels/footnotes.xml.rels><?xml version='1.0' encoding='UTF-8' standalone='yes'?>
<Relationships xmlns="http://schemas.openxmlformats.org/package/2006/relationships"><Relationship Id="rId38" Type="http://schemas.openxmlformats.org/officeDocument/2006/relationships/hyperlink" Target="/documents/hos-pol-001/" TargetMode="External"/><Relationship Id="rId37" Type="http://schemas.openxmlformats.org/officeDocument/2006/relationships/hyperlink" Target="/documents/ptr-frm-001/" TargetMode="External"/><Relationship Id="rId21" Type="http://schemas.openxmlformats.org/officeDocument/2006/relationships/hyperlink" Target="/ka/resources/policies/" TargetMode="External"/><Relationship Id="rId20" Type="http://schemas.openxmlformats.org/officeDocument/2006/relationships/hyperlink" Target="/ka/standards/" TargetMode="External"/><Relationship Id="rId43" Type="http://schemas.openxmlformats.org/officeDocument/2006/relationships/hyperlink" Target="/ka/standards/standard-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2026-11-07T01:42:38Z</dcterms:created>
  <dcterms:modified xsi:type="dcterms:W3CDTF">2026-11-07T01:42:38Z</dcterms:modified>
</cp:coreProperties>
</file>

<file path=docProps/custom.xml><?xml version="1.0" encoding="utf-8"?>
<Properties xmlns="http://schemas.openxmlformats.org/officeDocument/2006/custom-properties" xmlns:vt="http://schemas.openxmlformats.org/officeDocument/2006/docPropsVTypes"/>
</file>