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სტანდარტი S6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რეესტრები და ჟურნალები</w:t>
        </w:r>
      </w:hyperlink>
    </w:p>
    <w:p>
      <w:pPr>
        <w:pStyle w:val="BodyText"/>
      </w:pPr>
      <w:r>
        <w:t xml:space="preserve">რეგისტრი · PTR-REG-002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r>
        <w:t xml:space="preserve">სისტემა S6 (პაციენტების გადაყვანა და მიმართვები), კრიტერიუმები S6.18, S6.19, S6.20, S6.21</w:t>
      </w:r>
    </w:p>
    <w:bookmarkStart w:id="22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აღრიცხავს თითოეული მანქანის ტექნიკურ მომსახურებას, სამედიცინო აღჭურვილობის კალიბრაციას და გადატანილი მედიკამენტების შემოწმებას.</w:t>
      </w:r>
    </w:p>
    <w:bookmarkEnd w:id="22"/>
    <w:bookmarkStart w:id="23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შეიტანეთ თითოეული მომსახურება, კალიბრაცია და მედიკამენტების შემოწმება, როცა შესრულდება.</w:t>
      </w:r>
    </w:p>
    <w:p>
      <w:pPr>
        <w:numPr>
          <w:ilvl w:val="0"/>
          <w:numId w:val="1001"/>
        </w:numPr>
        <w:pStyle w:val="Compact"/>
      </w:pPr>
      <w:r>
        <w:t xml:space="preserve">ყოველთვიურ განხილვაზე მონიშნეთ ყველაფერი, რაც ვადაგადაცილებულია.</w:t>
      </w:r>
    </w:p>
    <w:p>
      <w:pPr>
        <w:numPr>
          <w:ilvl w:val="0"/>
          <w:numId w:val="1001"/>
        </w:numPr>
        <w:pStyle w:val="Compact"/>
      </w:pPr>
      <w:r>
        <w:t xml:space="preserve">მუშაობიდან ამოღებული ნივთები გამოიყენებიდან მოხსნით შეკეთებამდე.</w:t>
      </w:r>
    </w:p>
    <w:bookmarkEnd w:id="23"/>
    <w:bookmarkStart w:id="24" w:name="ჩანაწერის-ველები"/>
    <w:p>
      <w:pPr>
        <w:pStyle w:val="Heading2"/>
      </w:pPr>
      <w:r>
        <w:t xml:space="preserve">ჩანაწერის ველები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მანქანის ან აღჭურვილობის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ბოლო ტექნიკური მომსახურება ან კალიბრაცია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შემდეგი ვადა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შემოწმებული მედიკამენტები (თარიღი, ინიციალები)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უსაფრთხოების აღჭურვილობა არის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სტატუსი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5"/>
    <w:bookmarkStart w:id="26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ექსპერტთა კომიტეტის დამტკიცება</w:t>
            </w:r>
          </w:p>
        </w:tc>
      </w:tr>
    </w:tbl>
    <w:bookmarkEnd w:id="26"/>
    <w:bookmarkStart w:id="27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სწავლების კურსი.</w:t>
      </w:r>
    </w:p>
    <w:bookmarkEnd w:id="27"/>
    <w:bookmarkStart w:id="31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პოლიტიკის ჩარჩო v1.2.</w:t>
      </w:r>
      <w:r>
        <w:t xml:space="preserve"> </w:t>
      </w:r>
      <w:r>
        <w:t xml:space="preserve">(E-006)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28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r>
        <w:t xml:space="preserve">დაკავშირებული სტანდარტი</w:t>
      </w:r>
    </w:p>
    <w:p>
      <w:pPr>
        <w:numPr>
          <w:ilvl w:val="0"/>
          <w:numId w:val="1003"/>
        </w:numPr>
        <w:pStyle w:val="Compact"/>
      </w:pPr>
      <w:hyperlink r:id="rId29">
        <w:r>
          <w:rPr>
            <w:rStyle w:val="Hyperlink"/>
          </w:rPr>
          <w:t xml:space="preserve">სტანდარტი 7: გადაუდებელი დისპეტჩერიზაცია</w:t>
        </w:r>
      </w:hyperlink>
    </w:p>
    <w:p>
      <w:pPr>
        <w:pStyle w:val="FirstParagraph"/>
      </w:pPr>
      <w:hyperlink r:id="rId30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ka/resources/register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9" Target="https://france-asf.fr/ka/standards/standard-7/" TargetMode="External" /><Relationship Type="http://schemas.openxmlformats.org/officeDocument/2006/relationships/hyperlink" Id="rId30" Target="https://france-asf.fr/wp-content/uploads/2026/10/ptr-reg-002-form-1.docx" TargetMode="External" /><Relationship Type="http://schemas.openxmlformats.org/officeDocument/2006/relationships/hyperlink" Id="rId28" Target="https://france-asf.fr/wp-content/uploads/2026/10/ptr-reg-002-form-a4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ka/resources/register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9" Target="https://france-asf.fr/ka/standards/standard-7/" TargetMode="External" /><Relationship Type="http://schemas.openxmlformats.org/officeDocument/2006/relationships/hyperlink" Id="rId30" Target="https://france-asf.fr/wp-content/uploads/2026/10/ptr-reg-002-form-1.docx" TargetMode="External" /><Relationship Type="http://schemas.openxmlformats.org/officeDocument/2006/relationships/hyperlink" Id="rId28" Target="https://france-asf.fr/wp-content/uploads/2026/10/ptr-reg-002-form-a4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2026-11-07T01:43:24Z</dcterms:created>
  <dcterms:modified xsi:type="dcterms:W3CDTF">2026-11-07T01:43:24Z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