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PTR-SOP-002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S6 (პაციენტების გადაყვანა და მიმართვები), კრიტერიუმები S6.6, S6.7, S6.11, S6.12</w:t>
      </w:r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თითოეული გადაყვანა დაახარისხეთ შეფასებიდან მოთხოვნილი მოვლის დონით.</w:t>
      </w:r>
    </w:p>
    <w:p>
      <w:pPr>
        <w:numPr>
          <w:ilvl w:val="0"/>
          <w:numId w:val="1001"/>
        </w:numPr>
        <w:pStyle w:val="Compact"/>
      </w:pPr>
      <w:r>
        <w:t xml:space="preserve">გაემგზავრებამდე შეუსაბამეთ მანქანა, ეკიპაჟი და აღჭურვილობა ამ დონეს.</w:t>
      </w:r>
    </w:p>
    <w:p>
      <w:pPr>
        <w:numPr>
          <w:ilvl w:val="0"/>
          <w:numId w:val="1001"/>
        </w:numPr>
        <w:pStyle w:val="Compact"/>
      </w:pPr>
      <w:r>
        <w:t xml:space="preserve">გამოიყენეთ წერილობითი მინიმალური ეკიპაჟი თითოეული გადაყვანის ტიპისთვის.</w:t>
      </w:r>
    </w:p>
    <w:p>
      <w:pPr>
        <w:numPr>
          <w:ilvl w:val="0"/>
          <w:numId w:val="1001"/>
        </w:numPr>
        <w:pStyle w:val="Compact"/>
      </w:pPr>
      <w:r>
        <w:t xml:space="preserve">შეამოწმეთ, რომ ეკიპაჟის უნარები შეესაბამება თითოეული გადატანილი პაციენტის მძიმობას.</w:t>
      </w:r>
    </w:p>
    <w:p>
      <w:pPr>
        <w:numPr>
          <w:ilvl w:val="0"/>
          <w:numId w:val="1001"/>
        </w:numPr>
        <w:pStyle w:val="Compact"/>
      </w:pPr>
      <w:r>
        <w:t xml:space="preserve">შეჩერდით და დაუყოვნებლივ მოითხოვეთ დახმარება, თუ: გადაყვანა გაემგზავრება მანქანით, ეკიპაჟით ან აღჭურვილობით, რომელიც პაციენტს საჭირო დონეზე დაბალია.</w:t>
      </w:r>
    </w:p>
    <w:bookmarkStart w:id="22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ყოველი პაციენტი გაიგზავნოს სწორი მანქანით, ეკიპაჟითა და აღჭურვილობით მათი მდგომარეობისთვის (S6.6, S6.7, S6.11, S6.12).</w:t>
      </w:r>
    </w:p>
    <w:bookmarkEnd w:id="22"/>
    <w:bookmarkStart w:id="23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3"/>
    <w:bookmarkStart w:id="24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4"/>
    <w:bookmarkStart w:id="25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გადაყვანა ძალიან ცოტა ადამიანით ვერ ძლებს, როცა ერთი ადამიანი დაკავებულია პაციენტით, ხოლო მანქანას ყურადღება სჭირდება. წერილობითი მინიმალური ეკიპაჟი ხდის უსაფრთხო რიცხვს ფიქსირებულ წესად, და არა დღევანდელი განსჯის საკითხად.</w:t>
      </w:r>
    </w:p>
    <w:bookmarkEnd w:id="25"/>
    <w:bookmarkStart w:id="26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დისპეტჩერის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ახარისხებს და შეუსაბამებს გაემგზავრებამდე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გადამზადებული დისპეტჩერი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ეკიპაჟის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ადასტურებს, რომ ეკიპაჟს შეუძლია დონის დაკმაყოფილება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გადამზადებული ეკიპაჟი</w:t>
            </w:r>
          </w:p>
        </w:tc>
      </w:tr>
    </w:tbl>
    <w:bookmarkEnd w:id="26"/>
    <w:bookmarkStart w:id="27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7"/>
    <w:bookmarkStart w:id="28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28"/>
    <w:bookmarkStart w:id="29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29"/>
    <w:bookmarkStart w:id="30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დაახარისხეთ.</w:t>
      </w:r>
    </w:p>
    <w:p>
      <w:pPr>
        <w:numPr>
          <w:ilvl w:val="0"/>
          <w:numId w:val="1004"/>
        </w:numPr>
        <w:pStyle w:val="Compact"/>
      </w:pPr>
      <w:r>
        <w:t xml:space="preserve">გამოიყენეთ შეფასება გადაყვანის მოვლის დონის დასადგენად (PTR-FRM-003).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დონე მოდის პაციენტისგან და არა დაჯავშნიდან.</w:t>
      </w:r>
    </w:p>
    <w:p>
      <w:pPr>
        <w:pStyle w:val="BodyText"/>
      </w:pPr>
      <w:r>
        <w:t xml:space="preserve">ნაბიჯი 2. შეუსაბამეთ.</w:t>
      </w:r>
    </w:p>
    <w:p>
      <w:pPr>
        <w:numPr>
          <w:ilvl w:val="0"/>
          <w:numId w:val="1005"/>
        </w:numPr>
        <w:pStyle w:val="Compact"/>
      </w:pPr>
      <w:r>
        <w:t xml:space="preserve">შეუსაბამეთ მანქანა, ეკიპაჟის შემადგენლობა და აღჭურვილობა დონეს.</w:t>
      </w:r>
    </w:p>
    <w:p>
      <w:pPr>
        <w:numPr>
          <w:ilvl w:val="0"/>
          <w:numId w:val="1005"/>
        </w:numPr>
        <w:pStyle w:val="Compact"/>
      </w:pPr>
      <w:r>
        <w:t xml:space="preserve">თუ შესაბამისი არ არსებობს, არ გაემგზავროთ; მოაწყვეთ უფრო მაღალი დონე.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შეუსაბამობა — გამგზავრება არ ხდება.</w:t>
      </w:r>
    </w:p>
    <w:p>
      <w:pPr>
        <w:pStyle w:val="BodyText"/>
      </w:pPr>
      <w:r>
        <w:t xml:space="preserve">ნაბიჯი 3. შეამოწმეთ უნარები.</w:t>
      </w:r>
    </w:p>
    <w:p>
      <w:pPr>
        <w:numPr>
          <w:ilvl w:val="0"/>
          <w:numId w:val="1006"/>
        </w:numPr>
        <w:pStyle w:val="Compact"/>
      </w:pPr>
      <w:r>
        <w:t xml:space="preserve">დაადასტურეთ, რომ თითოეული ეკიპაჟის წევრის პრაქტიკის ფარგლები ფარავს მძიმობას, რომელსაც ისინი გადაიყვანენ.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პრაქტიკის ფარგლები შემოწმებულია.</w:t>
      </w:r>
    </w:p>
    <w:bookmarkEnd w:id="30"/>
    <w:bookmarkStart w:id="31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1"/>
    <w:bookmarkStart w:id="32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2"/>
    <w:bookmarkStart w:id="33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3"/>
    <w:bookmarkStart w:id="34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გადაყვანები ჩაწერილი მოვლის დონით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დისპეტჩერის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ხელმძღვანელთან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გადაყვანები შეუსაბამებულია მოვლის დონესთან გაემგზავრებამდე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</w:tbl>
    <w:bookmarkEnd w:id="34"/>
    <w:bookmarkStart w:id="35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5"/>
    <w:bookmarkStart w:id="36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6"/>
    <w:bookmarkStart w:id="39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PTR-FRM-003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გადაყვანამდე კლინიკური შეფასება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შეფასება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PTR-REG-001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ესკორტისა და ეკიპაჟის სერთიფიკატებისა და ცვლის წინა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39"/>
    <w:bookmarkStart w:id="40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0"/>
    <w:bookmarkStart w:id="41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1"/>
    <w:bookmarkStart w:id="42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bookmarkEnd w:id="42"/>
    <w:bookmarkStart w:id="46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3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r>
        <w:t xml:space="preserve"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4">
        <w:r>
          <w:rPr>
            <w:rStyle w:val="Hyperlink"/>
          </w:rPr>
          <w:t xml:space="preserve">სტანდარტი 7: გადაუდებელი დისპეტჩერიზაცია</w:t>
        </w:r>
      </w:hyperlink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/ka/documents/ptr-frm-003/" TargetMode="External" /><Relationship Type="http://schemas.openxmlformats.org/officeDocument/2006/relationships/hyperlink" Id="rId38" Target="/ka/documents/ptr-reg-001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4" Target="https://france-asf.fr/ka/standards/standard-7/" TargetMode="External" /><Relationship Type="http://schemas.openxmlformats.org/officeDocument/2006/relationships/hyperlink" Id="rId45" Target="https://france-asf.fr/wp-content/uploads/2026/10/ptr-sop-002-form-1.docx" TargetMode="External" /><Relationship Type="http://schemas.openxmlformats.org/officeDocument/2006/relationships/hyperlink" Id="rId43" Target="https://france-asf.fr/wp-content/uploads/2026/10/ptr-sop-002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/ka/documents/ptr-frm-003/" TargetMode="External" /><Relationship Type="http://schemas.openxmlformats.org/officeDocument/2006/relationships/hyperlink" Id="rId38" Target="/ka/documents/ptr-reg-001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4" Target="https://france-asf.fr/ka/standards/standard-7/" TargetMode="External" /><Relationship Type="http://schemas.openxmlformats.org/officeDocument/2006/relationships/hyperlink" Id="rId45" Target="https://france-asf.fr/wp-content/uploads/2026/10/ptr-sop-002-form-1.docx" TargetMode="External" /><Relationship Type="http://schemas.openxmlformats.org/officeDocument/2006/relationships/hyperlink" Id="rId43" Target="https://france-asf.fr/wp-content/uploads/2026/10/ptr-sop-002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2026-11-07T01:43:55Z</dcterms:created>
  <dcterms:modified xsi:type="dcterms:W3CDTF">2026-11-07T01:43:55Z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