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PTR-SOP-005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კრიტერიუმები S6.13, S6.14, S6.11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ესკორტის ექიმს აქვს კვალიფიკაცია და ბოლო დროის გამოცდილება პაციენტის მდგომარეობისა და ტრანსპორტის სახეობისთვის.</w:t>
      </w:r>
    </w:p>
    <w:p>
      <w:pPr>
        <w:numPr>
          <w:ilvl w:val="0"/>
          <w:numId w:val="1001"/>
        </w:numPr>
        <w:pStyle w:val="Compact"/>
      </w:pPr>
      <w:r>
        <w:t xml:space="preserve">ესკორტი პაციენტთან რჩება შეთანხმებულ გადაბარების წერტილამდე.</w:t>
      </w:r>
    </w:p>
    <w:p>
      <w:pPr>
        <w:numPr>
          <w:ilvl w:val="0"/>
          <w:numId w:val="1001"/>
        </w:numPr>
        <w:pStyle w:val="Compact"/>
      </w:pPr>
      <w:r>
        <w:t xml:space="preserve">თუ ესკორტს არ შეუძლია გაგრძელება, დასახელებული ალტერნატივა იღებს ვალდებულებას, სანამ პაციენტი ესკორტის გარეშე დარჩება.</w:t>
      </w:r>
    </w:p>
    <w:p>
      <w:pPr>
        <w:numPr>
          <w:ilvl w:val="0"/>
          <w:numId w:val="1001"/>
        </w:numPr>
        <w:pStyle w:val="Compact"/>
      </w:pPr>
      <w:r>
        <w:t xml:space="preserve">ნებართვები მოწმდება ყოველ გადაყვანამდე.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პაციენტი ესკორტის გარეშე რჩება, ან ესკორტი, რომელსაც საჭირო კვალიფიკაცია არ აქვს, მოგზაურობს.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ესკორტი იყოს კვალიფიცირებული პაციენტისთვის და რჩებოდეს მასთან გადაბარებამდე (S6.13, S6.14, S6.11).</w:t>
      </w:r>
    </w:p>
    <w:bookmarkEnd w:id="22"/>
    <w:bookmarkStart w:id="23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3"/>
    <w:bookmarkStart w:id="24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ეკიპაჟის უნარები უნდა შეესაბამებოდეს პაციენტის მძიმობას. მხოლოდ ძირითადი მოვლისთვის მომზადებულ ეკიპაჟს არ შეუძლია უსაფრთხოდ მართოს პაციენტი, რომელსაც მოწინავე ჩარევები სჭირდება.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ადასტურებს ესკორტის კვალიფიკაციასა და გამოცდილებას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ესკორტი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რჩება პაციენტთან გადაბარების წერტილამდე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შეამოწმეთ ესკორტი.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ესკორტის კვალიფიკაცია და ბოლო დროის გამოცდილება პაციენტის მდგომარეობასთან შედარებით (PTR-REG-001).</w:t>
      </w:r>
    </w:p>
    <w:p>
      <w:pPr>
        <w:numPr>
          <w:ilvl w:val="0"/>
          <w:numId w:val="1004"/>
        </w:numPr>
        <w:pStyle w:val="Compact"/>
      </w:pPr>
      <w:r>
        <w:t xml:space="preserve">ჩაწერეთ შემოწმება გეგმაში.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სწორი ესკორტი ამ პაციენტისთვის.</w:t>
      </w:r>
    </w:p>
    <w:p>
      <w:pPr>
        <w:pStyle w:val="BodyText"/>
      </w:pPr>
      <w:r>
        <w:t xml:space="preserve">ნაბიჯი 2. დარჩით პაციენტთან.</w:t>
      </w:r>
    </w:p>
    <w:p>
      <w:pPr>
        <w:numPr>
          <w:ilvl w:val="0"/>
          <w:numId w:val="1005"/>
        </w:numPr>
        <w:pStyle w:val="Compact"/>
      </w:pPr>
      <w:r>
        <w:t xml:space="preserve">ესკორტი არ ტოვებს პაციენტს შეთანხმებულ გადაბარების წერტილამდე.</w:t>
      </w:r>
    </w:p>
    <w:p>
      <w:pPr>
        <w:numPr>
          <w:ilvl w:val="0"/>
          <w:numId w:val="1005"/>
        </w:numPr>
        <w:pStyle w:val="Compact"/>
      </w:pPr>
      <w:r>
        <w:t xml:space="preserve">თუ ესკორტს არ შეუძლია გაგრძელება, დაასახელეთ ალტერნატივა და გადააბარეთ მანამ, სანამ პაციენტს დატოვებთ.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არასდროს ესკორტის გარეშე.</w:t>
      </w:r>
    </w:p>
    <w:p>
      <w:pPr>
        <w:pStyle w:val="BodyText"/>
      </w:pPr>
      <w:r>
        <w:t xml:space="preserve">ნაბიჯი 3. გადააბარეთ ესკორტი.</w:t>
      </w:r>
    </w:p>
    <w:p>
      <w:pPr>
        <w:numPr>
          <w:ilvl w:val="0"/>
          <w:numId w:val="1006"/>
        </w:numPr>
        <w:pStyle w:val="Compact"/>
      </w:pPr>
      <w:r>
        <w:t xml:space="preserve">ჩაწერეთ ალტერნატიული ესკორტის სახელი და დრო, როცა მან ჩაიბარა.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დასახელებული პირი იღებს ვალდებულებას.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ესკორტები, რომელთა კვალიფიკაცია გადაყვანამდე შემოწმდა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 ესკორტის გარეშე დარჩნენ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5"/>
    <w:bookmarkStart w:id="36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PTR-REG-001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ესკორტისა და ეკიპაჟის სერთიფიკატებისა და ცვლის წინა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PTR-SOP-006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მონიტორინგი ტრანსპორტირების დროს და გაუარესება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მონიტორინგი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2"/>
    <w:bookmarkStart w:id="46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4">
        <w:r>
          <w:rPr>
            <w:rStyle w:val="Hyperlink"/>
          </w:rPr>
          <w:t xml:space="preserve">სტანდარტი 7: გადაუდებელი დისპეტჩერიზაცია</w:t>
        </w:r>
      </w:hyperlink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/ka/documents/ptr-reg-001/" TargetMode="External" /><Relationship Type="http://schemas.openxmlformats.org/officeDocument/2006/relationships/hyperlink" Id="rId38" Target="/ka/documents/ptr-sop-006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4" Target="https://france-asf.fr/ka/standards/standard-7/" TargetMode="External" /><Relationship Type="http://schemas.openxmlformats.org/officeDocument/2006/relationships/hyperlink" Id="rId45" Target="https://france-asf.fr/wp-content/uploads/2026/10/ptr-sop-005-form-1.docx" TargetMode="External" /><Relationship Type="http://schemas.openxmlformats.org/officeDocument/2006/relationships/hyperlink" Id="rId43" Target="https://france-asf.fr/wp-content/uploads/2026/10/ptr-sop-005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/ka/documents/ptr-reg-001/" TargetMode="External" /><Relationship Type="http://schemas.openxmlformats.org/officeDocument/2006/relationships/hyperlink" Id="rId38" Target="/ka/documents/ptr-sop-006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4" Target="https://france-asf.fr/ka/standards/standard-7/" TargetMode="External" /><Relationship Type="http://schemas.openxmlformats.org/officeDocument/2006/relationships/hyperlink" Id="rId45" Target="https://france-asf.fr/wp-content/uploads/2026/10/ptr-sop-005-form-1.docx" TargetMode="External" /><Relationship Type="http://schemas.openxmlformats.org/officeDocument/2006/relationships/hyperlink" Id="rId43" Target="https://france-asf.fr/wp-content/uploads/2026/10/ptr-sop-005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2026-11-07T01:43:44Z</dcterms:created>
  <dcterms:modified xsi:type="dcterms:W3CDTF">2026-11-07T01:43:44Z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