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PTR-SOP-011: მძღოლის ტრენინგი და დაღლილობის მართვა</w:t>
      </w:r>
    </w:p>
    <w:p>
      <w:pPr>
        <w:pStyle w:val="FirstParagraph"/>
      </w:pPr>
      <w:hyperlink r:id="rId20">
        <w:r>
          <w:rPr>
            <w:rStyle w:val="Hyperlink"/>
          </w:rPr>
          <w:t xml:space="preserve">სტანდარტები</w:t>
        </w:r>
      </w:hyperlink>
      <w:r>
        <w:t xml:space="preserve"> </w:t>
      </w:r>
      <w:r>
        <w:t xml:space="preserve">›</w:t>
      </w:r>
      <w:r>
        <w:t xml:space="preserve"> </w:t>
      </w:r>
      <w:r>
        <w:t xml:space="preserve">სტანდარტი S6</w:t>
      </w:r>
      <w:r>
        <w:t xml:space="preserve"> </w:t>
      </w:r>
      <w:r>
        <w:t xml:space="preserve">›</w:t>
      </w:r>
      <w:r>
        <w:t xml:space="preserve"> </w:t>
      </w:r>
      <w:hyperlink r:id="rId21">
        <w:r>
          <w:rPr>
            <w:rStyle w:val="Hyperlink"/>
          </w:rPr>
          <w:t xml:space="preserve">სტანდარტული ოპერაციული პროცედურები (SOP)</w:t>
        </w:r>
      </w:hyperlink>
    </w:p>
    <w:p>
      <w:pPr>
        <w:pStyle w:val="BodyText"/>
      </w:pPr>
      <w:r>
        <w:t xml:space="preserve">სტანდარტული საოპერაციო პროცედურა (SOP) · PTR-SOP-011 · ვერსია 1.0 · დამტკიცებულია ASF ექსპერტთა კომიტეტის მიერ</w:t>
      </w:r>
    </w:p>
    <w:p>
      <w:pPr>
        <w:pStyle w:val="BodyText"/>
      </w:pPr>
      <w:r>
        <w:rPr>
          <w:bCs/>
          <w:b/>
        </w:rPr>
        <w:t xml:space="preserve">დაკავშირებულია:</w:t>
      </w:r>
      <w:r>
        <w:t xml:space="preserve"> </w:t>
      </w:r>
      <w:r>
        <w:t xml:space="preserve">სისტემა S6 (პაციენტების გადაყვანა და მიმართვები), კრიტერიუმი S6.16, S6.17</w:t>
      </w:r>
    </w:p>
    <w:p>
      <w:pPr>
        <w:pStyle w:val="BodyText"/>
      </w:pPr>
      <w:r>
        <w:t xml:space="preserve">მოკლედ</w:t>
      </w:r>
    </w:p>
    <w:p>
      <w:pPr>
        <w:numPr>
          <w:ilvl w:val="0"/>
          <w:numId w:val="1001"/>
        </w:numPr>
        <w:pStyle w:val="Compact"/>
      </w:pPr>
      <w:r>
        <w:t xml:space="preserve">მძღოლები გადიან ტრენინგს პაციენტების უსაფრთხოდ გადაადგილებაში, სანამ პაციენტის მანქანას მართავენ.</w:t>
      </w:r>
    </w:p>
    <w:p>
      <w:pPr>
        <w:numPr>
          <w:ilvl w:val="0"/>
          <w:numId w:val="1001"/>
        </w:numPr>
        <w:pStyle w:val="Compact"/>
      </w:pPr>
      <w:r>
        <w:t xml:space="preserve">ხანგრძლივ მგზავრობას აქვს დაგეგმილი შესვენებები.</w:t>
      </w:r>
    </w:p>
    <w:p>
      <w:pPr>
        <w:numPr>
          <w:ilvl w:val="0"/>
          <w:numId w:val="1001"/>
        </w:numPr>
        <w:pStyle w:val="Compact"/>
      </w:pPr>
      <w:r>
        <w:t xml:space="preserve">მძღოლები და ეკიპაჟი დაღლილობას ცვლის დაწყებამდე ატყობინებენ.</w:t>
      </w:r>
    </w:p>
    <w:p>
      <w:pPr>
        <w:numPr>
          <w:ilvl w:val="0"/>
          <w:numId w:val="1001"/>
        </w:numPr>
        <w:pStyle w:val="Compact"/>
      </w:pPr>
      <w:r>
        <w:t xml:space="preserve">ტრენინგისა და დასვენების ჩანაწერები ინახება.</w:t>
      </w:r>
    </w:p>
    <w:p>
      <w:pPr>
        <w:numPr>
          <w:ilvl w:val="0"/>
          <w:numId w:val="1001"/>
        </w:numPr>
        <w:pStyle w:val="Compact"/>
      </w:pPr>
      <w:r>
        <w:t xml:space="preserve">გაჩერდით და მაშინვე მოითხოვეთ დახმარება, თუ: პაციენტს მართავს მძღოლი პაციენტის ტრანსპორტირების ტრენინგის გარეშე, ან ხანგრძლივი მგზავრობა მიმდინარეობს დაგეგმილი შესვენების გარეშე.</w:t>
      </w:r>
    </w:p>
    <w:bookmarkStart w:id="22" w:name="მიზანი"/>
    <w:p>
      <w:pPr>
        <w:pStyle w:val="Heading2"/>
      </w:pPr>
      <w:r>
        <w:t xml:space="preserve">1. მიზანი</w:t>
      </w:r>
    </w:p>
    <w:p>
      <w:pPr>
        <w:pStyle w:val="FirstParagraph"/>
      </w:pPr>
      <w:r>
        <w:t xml:space="preserve">იმისთვის, რომ პაციენტები და ეკიპაჟი უსაფრთხო იყვნენ გზაზე (S6.16, S6.17).</w:t>
      </w:r>
    </w:p>
    <w:bookmarkEnd w:id="22"/>
    <w:bookmarkStart w:id="23" w:name="სფერო"/>
    <w:p>
      <w:pPr>
        <w:pStyle w:val="Heading2"/>
      </w:pPr>
      <w:r>
        <w:t xml:space="preserve">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საავადმყოფოს კლინიკური და დამხმარე პერსონალი</w:t>
            </w:r>
          </w:p>
        </w:tc>
      </w:tr>
      <w:tr>
        <w:tc>
          <w:tcPr/>
          <w:p>
            <w:pPr>
              <w:pStyle w:val="Compact"/>
              <w:jc w:val="left"/>
            </w:pPr>
            <w:r>
              <w:t xml:space="preserve">ადგილმდებარეობა</w:t>
            </w:r>
          </w:p>
        </w:tc>
        <w:tc>
          <w:tcPr/>
          <w:p>
            <w:pPr>
              <w:pStyle w:val="Compact"/>
              <w:jc w:val="left"/>
            </w:pPr>
            <w:r>
              <w:t xml:space="preserve">დაწესებულების ყველა განყოფილება, კლინიკა და დეპარტამენტი</w:t>
            </w:r>
          </w:p>
        </w:tc>
      </w:tr>
      <w:tr>
        <w:tc>
          <w:tcPr/>
          <w:p>
            <w:pPr>
              <w:pStyle w:val="Compact"/>
              <w:jc w:val="left"/>
            </w:pPr>
            <w:r>
              <w:t xml:space="preserve">როდის</w:t>
            </w:r>
          </w:p>
        </w:tc>
        <w:tc>
          <w:tcPr/>
          <w:p>
            <w:pPr>
              <w:pStyle w:val="Compact"/>
              <w:jc w:val="left"/>
            </w:pPr>
            <w:r>
              <w:t xml:space="preserve">ყოველ შემთხვევაში, როცა აღწერილი საქმიანობა სრულდება</w:t>
            </w:r>
          </w:p>
        </w:tc>
      </w:tr>
      <w:tr>
        <w:tc>
          <w:tcPr/>
          <w:p>
            <w:pPr>
              <w:pStyle w:val="Compact"/>
              <w:jc w:val="left"/>
            </w:pPr>
            <w:r>
              <w:t xml:space="preserve">არ ვრცელდება</w:t>
            </w:r>
          </w:p>
        </w:tc>
        <w:tc>
          <w:tcPr/>
          <w:p>
            <w:pPr>
              <w:pStyle w:val="Compact"/>
              <w:jc w:val="left"/>
            </w:pPr>
            <w:r>
              <w:t xml:space="preserve">საქმიანობა, რომელსაც მოიცავს სხვა დოკუმენტი, ჩამოთვლილი განყოფილება 15-ში</w:t>
            </w:r>
          </w:p>
        </w:tc>
      </w:tr>
    </w:tbl>
    <w:bookmarkEnd w:id="23"/>
    <w:bookmarkStart w:id="24"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კლინიკური ლიდერი</w:t>
            </w:r>
          </w:p>
        </w:tc>
        <w:tc>
          <w:tcPr/>
          <w:p>
            <w:pPr>
              <w:pStyle w:val="Compact"/>
              <w:jc w:val="left"/>
            </w:pPr>
            <w:r>
              <w:t xml:space="preserve">იმ დროს სამსახურის ზედამხედველი ექიმი ან ექთანი</w:t>
            </w:r>
          </w:p>
        </w:tc>
      </w:tr>
    </w:tbl>
    <w:bookmarkEnd w:id="24"/>
    <w:bookmarkStart w:id="25" w:name="ფონი"/>
    <w:p>
      <w:pPr>
        <w:pStyle w:val="Heading2"/>
      </w:pPr>
      <w:r>
        <w:t xml:space="preserve">4. ფონი</w:t>
      </w:r>
    </w:p>
    <w:p>
      <w:pPr>
        <w:pStyle w:val="FirstParagraph"/>
      </w:pPr>
      <w:r>
        <w:t xml:space="preserve">დაღლილი მძღოლი ან ეკიპაჟის წევრი უნდა დაუშვას შეცდომებს, რომელთა წინასწარ განჭვრეტა ძნელია. ხანგრძლივ მგზავრობას სჭირდება დაგეგმილი შესვენებები და წესი, თუ როდის უნდა გაჩერდეს, და არა გადაწყვეტილება, რომელიც მიიღება მაშინ, როცა მძღოლი უკვე დაქანცულია.</w:t>
      </w:r>
    </w:p>
    <w:bookmarkEnd w:id="25"/>
    <w:bookmarkStart w:id="26"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დისპეჩერის ხელმძღვანელი</w:t>
            </w:r>
          </w:p>
        </w:tc>
        <w:tc>
          <w:tcPr/>
          <w:p>
            <w:pPr>
              <w:pStyle w:val="Compact"/>
              <w:jc w:val="left"/>
            </w:pPr>
            <w:r>
              <w:t xml:space="preserve">გეგმავს შესვენებებსა და გრაფიკებს</w:t>
            </w:r>
          </w:p>
        </w:tc>
        <w:tc>
          <w:tcPr/>
          <w:p>
            <w:pPr>
              <w:pStyle w:val="Compact"/>
              <w:jc w:val="left"/>
            </w:pPr>
            <w:r>
              <w:t xml:space="preserve">გაწვრთნილი დისპეჩერი</w:t>
            </w:r>
          </w:p>
        </w:tc>
      </w:tr>
      <w:tr>
        <w:tc>
          <w:tcPr/>
          <w:p>
            <w:pPr>
              <w:pStyle w:val="Compact"/>
              <w:jc w:val="left"/>
            </w:pPr>
            <w:r>
              <w:t xml:space="preserve">მძღოლი</w:t>
            </w:r>
          </w:p>
        </w:tc>
        <w:tc>
          <w:tcPr/>
          <w:p>
            <w:pPr>
              <w:pStyle w:val="Compact"/>
              <w:jc w:val="left"/>
            </w:pPr>
            <w:r>
              <w:t xml:space="preserve">ატყობინებს დაღლილობას და იღებს დაგეგმილ შესვენებებს</w:t>
            </w:r>
          </w:p>
        </w:tc>
        <w:tc>
          <w:tcPr/>
          <w:p>
            <w:pPr>
              <w:pStyle w:val="Compact"/>
              <w:jc w:val="left"/>
            </w:pPr>
            <w:r>
              <w:t xml:space="preserve">გაწვრთნილი მძღოლი</w:t>
            </w:r>
          </w:p>
        </w:tc>
      </w:tr>
    </w:tbl>
    <w:bookmarkEnd w:id="26"/>
    <w:bookmarkStart w:id="27"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ნივთი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ამ დოკუმენტში მითითებული ჩანაწერები და ფორმები</w:t>
            </w:r>
          </w:p>
        </w:tc>
        <w:tc>
          <w:tcPr/>
          <w:p>
            <w:pPr>
              <w:pStyle w:val="Compact"/>
              <w:jc w:val="left"/>
            </w:pPr>
            <w:r>
              <w:t xml:space="preserve">მიმდინარე ვერსია</w:t>
            </w:r>
          </w:p>
        </w:tc>
        <w:tc>
          <w:tcPr/>
          <w:p>
            <w:pPr>
              <w:pStyle w:val="Compact"/>
              <w:jc w:val="left"/>
            </w:pPr>
            <w:r>
              <w:t xml:space="preserve">გამოყენებამდე შემოწმებული</w:t>
            </w:r>
          </w:p>
        </w:tc>
      </w:tr>
    </w:tbl>
    <w:bookmarkEnd w:id="27"/>
    <w:bookmarkStart w:id="28" w:name="უსაფრთხოება"/>
    <w:p>
      <w:pPr>
        <w:pStyle w:val="Heading2"/>
      </w:pPr>
      <w:r>
        <w:t xml:space="preserve">7. უსაფრთხოება</w:t>
      </w:r>
    </w:p>
    <w:p>
      <w:pPr>
        <w:numPr>
          <w:ilvl w:val="0"/>
          <w:numId w:val="1002"/>
        </w:numPr>
        <w:pStyle w:val="Compact"/>
      </w:pPr>
      <w:r>
        <w:t xml:space="preserve">თუ პაციენტს უშუალო რისკი ემუქრება, შეწყვიტეთ და გამოიძახეთ დახმარება. არ დააყოვნოთ გადაუდებელი მკურნალობა საბუთების შევსების გამო.</w:t>
      </w:r>
    </w:p>
    <w:bookmarkEnd w:id="28"/>
    <w:bookmarkStart w:id="29" w:name="დაწყებამდე"/>
    <w:p>
      <w:pPr>
        <w:pStyle w:val="Heading2"/>
      </w:pPr>
      <w:r>
        <w:t xml:space="preserve">8. დაწყებამდე</w:t>
      </w:r>
    </w:p>
    <w:p>
      <w:pPr>
        <w:numPr>
          <w:ilvl w:val="0"/>
          <w:numId w:val="1003"/>
        </w:numPr>
        <w:pStyle w:val="Compact"/>
      </w:pPr>
      <w:r>
        <w:t xml:space="preserve">დაადასტურეთ, რომ ამ დოკუმენტში მითითებული ფორმები და აღჭურვილობა ხელმისაწვდომია და აქტუალურია.</w:t>
      </w:r>
    </w:p>
    <w:bookmarkEnd w:id="29"/>
    <w:bookmarkStart w:id="30" w:name="პროცედურა"/>
    <w:p>
      <w:pPr>
        <w:pStyle w:val="Heading2"/>
      </w:pPr>
      <w:r>
        <w:t xml:space="preserve">9. პროცედურა</w:t>
      </w:r>
    </w:p>
    <w:p>
      <w:pPr>
        <w:pStyle w:val="FirstParagraph"/>
      </w:pPr>
      <w:r>
        <w:t xml:space="preserve">ნაბიჯი 1. ტრენინგი.</w:t>
      </w:r>
    </w:p>
    <w:p>
      <w:pPr>
        <w:numPr>
          <w:ilvl w:val="0"/>
          <w:numId w:val="1004"/>
        </w:numPr>
        <w:pStyle w:val="Compact"/>
      </w:pPr>
      <w:r>
        <w:t xml:space="preserve">გაწვრთნეთ ყოველი მძღოლი პაციენტის გადატანაში, უსაფრთხო ჩატვირთვასა და მანქანის თავისებურებებში, პირველ პაციენტის გადაყვანამდე.</w:t>
      </w:r>
    </w:p>
    <w:p>
      <w:pPr>
        <w:pStyle w:val="FirstParagraph"/>
      </w:pPr>
      <w:r>
        <w:rPr>
          <w:bCs/>
          <w:b/>
        </w:rPr>
        <w:t xml:space="preserve">მთავარი პუნქტი:</w:t>
      </w:r>
      <w:r>
        <w:t xml:space="preserve"> </w:t>
      </w:r>
      <w:r>
        <w:t xml:space="preserve">გაწვრთნილი პაციენტებამდე.</w:t>
      </w:r>
    </w:p>
    <w:p>
      <w:pPr>
        <w:pStyle w:val="BodyText"/>
      </w:pPr>
      <w:r>
        <w:t xml:space="preserve">ნაბიჯი 2. დაგეგმეთ დასვენება.</w:t>
      </w:r>
    </w:p>
    <w:p>
      <w:pPr>
        <w:numPr>
          <w:ilvl w:val="0"/>
          <w:numId w:val="1005"/>
        </w:numPr>
        <w:pStyle w:val="Compact"/>
      </w:pPr>
      <w:r>
        <w:t xml:space="preserve">დაგეგმეთ შესვენებები ყოველ ხანგრძლივ მგზავრობაზე, მანძილისა და დროის მიხედვით.</w:t>
      </w:r>
    </w:p>
    <w:p>
      <w:pPr>
        <w:pStyle w:val="FirstParagraph"/>
      </w:pPr>
      <w:r>
        <w:rPr>
          <w:bCs/>
          <w:b/>
        </w:rPr>
        <w:t xml:space="preserve">მთავარი პუნქტი:</w:t>
      </w:r>
      <w:r>
        <w:t xml:space="preserve"> </w:t>
      </w:r>
      <w:r>
        <w:t xml:space="preserve">შესვენებები დაგეგმილია.</w:t>
      </w:r>
    </w:p>
    <w:p>
      <w:pPr>
        <w:pStyle w:val="BodyText"/>
      </w:pPr>
      <w:r>
        <w:t xml:space="preserve">ნაბიჯი 3. დაღლილობის შეტყობინება.</w:t>
      </w:r>
    </w:p>
    <w:p>
      <w:pPr>
        <w:numPr>
          <w:ilvl w:val="0"/>
          <w:numId w:val="1006"/>
        </w:numPr>
        <w:pStyle w:val="Compact"/>
      </w:pPr>
      <w:r>
        <w:t xml:space="preserve">მძღოლი, რომელიც დაღლილია, მგზავრობამდე ატყობინებს და საჭიროების შემთხვევაში იცვლება.</w:t>
      </w:r>
    </w:p>
    <w:p>
      <w:pPr>
        <w:pStyle w:val="FirstParagraph"/>
      </w:pPr>
      <w:r>
        <w:rPr>
          <w:bCs/>
          <w:b/>
        </w:rPr>
        <w:t xml:space="preserve">მთავარი პუნქტი:</w:t>
      </w:r>
      <w:r>
        <w:t xml:space="preserve"> </w:t>
      </w:r>
      <w:r>
        <w:t xml:space="preserve">დაღლილობა ცხადდება, და არა იმალება.</w:t>
      </w:r>
    </w:p>
    <w:bookmarkEnd w:id="30"/>
    <w:bookmarkStart w:id="31" w:name="გადაწყვეტილების-წერტილები"/>
    <w:p>
      <w:pPr>
        <w:pStyle w:val="Heading2"/>
      </w:pPr>
      <w:r>
        <w:t xml:space="preserve">10. გადაწყვეტილების წერტილები</w:t>
      </w:r>
    </w:p>
    <w:p>
      <w:pPr>
        <w:numPr>
          <w:ilvl w:val="0"/>
          <w:numId w:val="1007"/>
        </w:numPr>
        <w:pStyle w:val="Compact"/>
      </w:pPr>
      <w:r>
        <w:t xml:space="preserve">ამ პროცედურაში გადაწყვეტილების წერტილები არ არის.</w:t>
      </w:r>
    </w:p>
    <w:bookmarkEnd w:id="31"/>
    <w:bookmarkStart w:id="32"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არასამუშაო საათები</w:t>
            </w:r>
          </w:p>
        </w:tc>
        <w:tc>
          <w:tcPr/>
          <w:p>
            <w:pPr>
              <w:pStyle w:val="Compact"/>
              <w:jc w:val="left"/>
            </w:pPr>
            <w:r>
              <w:t xml:space="preserve">მიჰყევით იმავე ეტაპებს. გამოიყენეთ სამსახურის კედელზე მითითებული მორიგე კონტაქტი.</w:t>
            </w:r>
          </w:p>
        </w:tc>
      </w:tr>
    </w:tbl>
    <w:bookmarkEnd w:id="32"/>
    <w:bookmarkStart w:id="33" w:name="ესკალაცია"/>
    <w:p>
      <w:pPr>
        <w:pStyle w:val="Heading2"/>
      </w:pPr>
      <w:r>
        <w:t xml:space="preserve">12. ესკალაცია</w:t>
      </w:r>
    </w:p>
    <w:p>
      <w:pPr>
        <w:numPr>
          <w:ilvl w:val="0"/>
          <w:numId w:val="1008"/>
        </w:numPr>
        <w:pStyle w:val="Compact"/>
      </w:pPr>
      <w:r>
        <w:t xml:space="preserve">ნებისმიერი სერიოზული პრობლემა დაუყოვნებლივ მიეწოდება მორიგე კლინიკურ ლიდერს, ხოლო იმავე დღეს – კლინიკურ დირექტორს.</w:t>
      </w:r>
    </w:p>
    <w:bookmarkEnd w:id="33"/>
    <w:bookmarkStart w:id="34"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მიზანი</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მძღოლები გაწვრთნილი პირველ პაციენტის გადაყვანამდე</w:t>
            </w:r>
          </w:p>
        </w:tc>
        <w:tc>
          <w:tcPr/>
          <w:p>
            <w:pPr>
              <w:pStyle w:val="Compact"/>
              <w:jc w:val="left"/>
            </w:pPr>
            <w:r>
              <w:t xml:space="preserve">100%</w:t>
            </w:r>
          </w:p>
        </w:tc>
        <w:tc>
          <w:tcPr/>
          <w:p>
            <w:pPr>
              <w:pStyle w:val="Compact"/>
              <w:jc w:val="left"/>
            </w:pPr>
            <w:r>
              <w:t xml:space="preserve">ყოველკვარტალურად</w:t>
            </w:r>
          </w:p>
        </w:tc>
        <w:tc>
          <w:tcPr/>
          <w:p>
            <w:pPr>
              <w:pStyle w:val="Compact"/>
              <w:jc w:val="left"/>
            </w:pPr>
            <w:r>
              <w:t xml:space="preserve">დისპეჩერის ხელმძღვანელი</w:t>
            </w:r>
          </w:p>
        </w:tc>
        <w:tc>
          <w:tcPr/>
          <w:p>
            <w:pPr>
              <w:pStyle w:val="Compact"/>
              <w:jc w:val="left"/>
            </w:pPr>
            <w:r>
              <w:t xml:space="preserve">ესკალაცია აღმასრულებელ დირექტორთან</w:t>
            </w:r>
          </w:p>
        </w:tc>
      </w:tr>
      <w:tr>
        <w:tc>
          <w:tcPr/>
          <w:p>
            <w:pPr>
              <w:pStyle w:val="Compact"/>
              <w:jc w:val="left"/>
            </w:pPr>
            <w:r>
              <w:t xml:space="preserve">ხანგრძლივი მგზავრობები დაგეგმილი შესვენებით</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დისპეჩერის ხელმძღვანელი</w:t>
            </w:r>
          </w:p>
        </w:tc>
        <w:tc>
          <w:tcPr/>
          <w:p>
            <w:pPr>
              <w:pStyle w:val="Compact"/>
              <w:jc w:val="left"/>
            </w:pPr>
            <w:r>
              <w:t xml:space="preserve">ესკალაცია კლინიკურ ხელმძღვანელთან</w:t>
            </w:r>
          </w:p>
        </w:tc>
      </w:tr>
    </w:tbl>
    <w:bookmarkEnd w:id="34"/>
    <w:bookmarkStart w:id="35"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შენახვის ადგილი</w:t>
            </w:r>
          </w:p>
        </w:tc>
        <w:tc>
          <w:tcPr/>
          <w:p>
            <w:pPr>
              <w:pStyle w:val="Compact"/>
              <w:jc w:val="left"/>
            </w:pPr>
            <w:r>
              <w:t xml:space="preserve">შენახვის ვადა</w:t>
            </w:r>
          </w:p>
        </w:tc>
      </w:tr>
      <w:tr>
        <w:tc>
          <w:tcPr/>
          <w:p>
            <w:pPr>
              <w:pStyle w:val="Compact"/>
              <w:jc w:val="left"/>
            </w:pPr>
            <w:r>
              <w:t xml:space="preserve">ამ დოკუმენტში მითითებული ჩანაწერი</w:t>
            </w:r>
          </w:p>
        </w:tc>
        <w:tc>
          <w:tcPr/>
          <w:p>
            <w:pPr>
              <w:pStyle w:val="Compact"/>
              <w:jc w:val="left"/>
            </w:pPr>
            <w:r>
              <w:t xml:space="preserve">პაციენტის ჩანაწერი ან განყოფილების საქმე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5"/>
    <w:bookmarkStart w:id="36" w:name="სწავლება"/>
    <w:p>
      <w:pPr>
        <w:pStyle w:val="Heading2"/>
      </w:pPr>
      <w:r>
        <w:t xml:space="preserve">15. სწავლება</w:t>
      </w:r>
    </w:p>
    <w:p>
      <w:pPr>
        <w:numPr>
          <w:ilvl w:val="0"/>
          <w:numId w:val="1009"/>
        </w:numPr>
        <w:pStyle w:val="Compact"/>
      </w:pPr>
      <w:r>
        <w:t xml:space="preserve">პერსონალი ამ დოკუმენტში ინსტრუქტირდება ჩართვისას და ყოველწლიურად ახლდება, კომპეტენციის ჩაწერილი შემოწმებით.</w:t>
      </w:r>
    </w:p>
    <w:bookmarkEnd w:id="36"/>
    <w:bookmarkStart w:id="38"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r>
        <w:tc>
          <w:tcPr/>
          <w:p>
            <w:pPr>
              <w:pStyle w:val="Compact"/>
              <w:jc w:val="left"/>
            </w:pPr>
            <w:hyperlink r:id="rId37">
              <w:r>
                <w:rPr>
                  <w:rStyle w:val="Hyperlink"/>
                </w:rPr>
                <w:t xml:space="preserve">PTR-REG-001</w:t>
              </w:r>
            </w:hyperlink>
          </w:p>
        </w:tc>
        <w:tc>
          <w:tcPr/>
          <w:p>
            <w:pPr>
              <w:pStyle w:val="Compact"/>
              <w:jc w:val="left"/>
            </w:pPr>
            <w:r>
              <w:t xml:space="preserve">თანმხლები პირისა და ეკიპაჟის სერტიფიკატებისა და ცვლამდე რეესტრი</w:t>
            </w:r>
          </w:p>
        </w:tc>
        <w:tc>
          <w:tcPr/>
          <w:p>
            <w:pPr>
              <w:pStyle w:val="Compact"/>
              <w:jc w:val="left"/>
            </w:pPr>
            <w:r>
              <w:t xml:space="preserve">რეგისტრი</w:t>
            </w:r>
          </w:p>
        </w:tc>
      </w:tr>
    </w:tbl>
    <w:bookmarkEnd w:id="38"/>
    <w:bookmarkStart w:id="39"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მითითება</w:t>
            </w:r>
          </w:p>
        </w:tc>
        <w:tc>
          <w:tcPr/>
          <w:p>
            <w:pPr>
              <w:pStyle w:val="Compact"/>
              <w:jc w:val="left"/>
            </w:pPr>
            <w:r>
              <w:t xml:space="preserve">შენიშვნა</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w:t>
            </w:r>
          </w:p>
        </w:tc>
      </w:tr>
      <w:tr>
        <w:tc>
          <w:tcPr/>
          <w:p>
            <w:pPr>
              <w:pStyle w:val="Compact"/>
              <w:jc w:val="left"/>
            </w:pPr>
            <w:r>
              <w:t xml:space="preserve">E-006</w:t>
            </w:r>
          </w:p>
        </w:tc>
        <w:tc>
          <w:tcPr/>
          <w:p>
            <w:pPr>
              <w:pStyle w:val="Compact"/>
              <w:jc w:val="left"/>
            </w:pPr>
            <w:r>
              <w:t xml:space="preserve">ASF Policy Framework v1.2. ადაპტირებული.</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w:t>
            </w:r>
          </w:p>
        </w:tc>
      </w:tr>
    </w:tbl>
    <w:bookmarkEnd w:id="39"/>
    <w:bookmarkStart w:id="40"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pPr>
          </w:p>
        </w:tc>
      </w:tr>
    </w:tbl>
    <w:bookmarkEnd w:id="40"/>
    <w:bookmarkStart w:id="41" w:name="ამ-დოკუმენტის-ელექტრონული-სწავლება"/>
    <w:p>
      <w:pPr>
        <w:pStyle w:val="Heading2"/>
      </w:pPr>
      <w:r>
        <w:t xml:space="preserve">ამ დოკუმენტის ელექტრონული სწავლება</w:t>
      </w:r>
    </w:p>
    <w:p>
      <w:pPr>
        <w:pStyle w:val="FirstParagraph"/>
      </w:pPr>
      <w:r>
        <w:t xml:space="preserve">ამ დოკუმენტთან ჯერ არ არის დაკავშირებული ელექტრონული სწავლების კურსი.</w:t>
      </w:r>
    </w:p>
    <w:bookmarkEnd w:id="41"/>
    <w:bookmarkStart w:id="43" w:name="წყაროები"/>
    <w:p>
      <w:pPr>
        <w:pStyle w:val="Heading2"/>
      </w:pPr>
      <w:r>
        <w:t xml:space="preserve">წყაროები</w:t>
      </w:r>
    </w:p>
    <w:p>
      <w:pPr>
        <w:numPr>
          <w:ilvl w:val="0"/>
          <w:numId w:val="1010"/>
        </w:numPr>
        <w:pStyle w:val="Compact"/>
      </w:pPr>
      <w:r>
        <w:t xml:space="preserve">Accréditation Sans Frontières (2026). ASF Policy Framework v1.2.</w:t>
      </w:r>
      <w:r>
        <w:t xml:space="preserve"> </w:t>
      </w:r>
      <w:r>
        <w:t xml:space="preserve">(E-006)</w:t>
      </w:r>
    </w:p>
    <w:p>
      <w:pPr>
        <w:numPr>
          <w:ilvl w:val="0"/>
          <w:numId w:val="1010"/>
        </w:numPr>
        <w:pStyle w:val="Compact"/>
      </w:pPr>
      <w:r>
        <w:t xml:space="preserve">Accréditation Sans Frontières (2026). ASF Expert Committee consensus on Standard 1.</w:t>
      </w:r>
      <w:r>
        <w:t xml:space="preserve"> </w:t>
      </w:r>
      <w:r>
        <w:t xml:space="preserve">(E-009)</w:t>
      </w:r>
    </w:p>
    <w:p>
      <w:pPr>
        <w:pStyle w:val="FirstParagraph"/>
      </w:pPr>
      <w:r>
        <w:t xml:space="preserve">დაკავშირებული სტანდარტი</w:t>
      </w:r>
    </w:p>
    <w:p>
      <w:pPr>
        <w:numPr>
          <w:ilvl w:val="0"/>
          <w:numId w:val="1011"/>
        </w:numPr>
        <w:pStyle w:val="Compact"/>
      </w:pPr>
      <w:hyperlink r:id="rId42">
        <w:r>
          <w:rPr>
            <w:rStyle w:val="Hyperlink"/>
          </w:rPr>
          <w:t xml:space="preserve">სტანდარტი 7: გადაუდებელი დისპეჩინგი</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ka/documents/ptr-reg-001/" TargetMode="External" /><Relationship Type="http://schemas.openxmlformats.org/officeDocument/2006/relationships/hyperlink" Id="rId21" Target="/ka/resources/sops/" TargetMode="External" /><Relationship Type="http://schemas.openxmlformats.org/officeDocument/2006/relationships/hyperlink" Id="rId20" Target="/ka/standards/" TargetMode="External" /><Relationship Type="http://schemas.openxmlformats.org/officeDocument/2006/relationships/hyperlink" Id="rId42" Target="/ka/standards/standard-7/" TargetMode="External" /></Relationships>
</file>

<file path=word/_rels/footnotes.xml.rels><?xml version="1.0" encoding="UTF-8"?><Relationships xmlns="http://schemas.openxmlformats.org/package/2006/relationships"><Relationship Type="http://schemas.openxmlformats.org/officeDocument/2006/relationships/hyperlink" Id="rId37" Target="/ka/documents/ptr-reg-001/" TargetMode="External" /><Relationship Type="http://schemas.openxmlformats.org/officeDocument/2006/relationships/hyperlink" Id="rId21" Target="/ka/resources/sops/" TargetMode="External" /><Relationship Type="http://schemas.openxmlformats.org/officeDocument/2006/relationships/hyperlink" Id="rId20" Target="/ka/standards/" TargetMode="External" /><Relationship Type="http://schemas.openxmlformats.org/officeDocument/2006/relationships/hyperlink" Id="rId42" Target="/ka/standards/standard-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PTR-SOP-011: მძღოლის ტრენინგი და დაღლილობის მართვა</dc:title>
  <dc:creator/>
  <cp:keywords/>
  <dcterms:created xsi:type="dcterms:W3CDTF">2026-11-07T01:54:50Z</dcterms:created>
  <dcterms:modified xsi:type="dcterms:W3CDTF">2026-11-07T01:54:50Z</dcterms:modified>
</cp:coreProperties>
</file>

<file path=docProps/custom.xml><?xml version="1.0" encoding="utf-8"?>
<Properties xmlns="http://schemas.openxmlformats.org/officeDocument/2006/custom-properties" xmlns:vt="http://schemas.openxmlformats.org/officeDocument/2006/docPropsVTypes"/>
</file>