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>QUA-REG-001: უსაფრთხოების კულტურის ქმედებების გეგმის რეგისტრი</w:t>
      </w:r>
      <w:r/>
      <w:r/>
      <w:r/>
      <w:r/>
      <w:r/>
      <w:r/>
      <w:r/>
      <w:r/>
      <w:r/>
      <w:r/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>ორგანიზაციის სახელი</w:t>
            </w:r>
          </w:p>
          <w:p>
            <w:pPr>
              <w:pStyle w:val="Compact"/>
              <w:jc w:val="left"/>
            </w:pPr>
            <w:r>
              <w:t>ობიექტი ან განყოფილება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>რეგისტრი</w:t>
            </w:r>
          </w:p>
          <w:p>
            <w:pPr>
              <w:pStyle w:val="Compact"/>
              <w:jc w:val="left"/>
            </w:pPr>
            <w:r>
              <w:t>უსაფრთხოების კულტურის ქმედებების გეგმის რეგისტრი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>დოკუმენტის ID</w:t>
            </w:r>
          </w:p>
        </w:tc>
        <w:tc>
          <w:tcPr/>
          <w:p>
            <w:pPr>
              <w:pStyle w:val="Compact"/>
              <w:jc w:val="left"/>
            </w:pPr>
            <w:r>
              <w:t>QUA-REG-001</w:t>
            </w:r>
          </w:p>
        </w:tc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1.0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სტატუსი</w:t>
            </w:r>
          </w:p>
        </w:tc>
        <w:tc>
          <w:tcPr/>
          <w:p>
            <w:pPr>
              <w:pStyle w:val="Compact"/>
              <w:jc w:val="left"/>
            </w:pPr>
            <w:r>
              <w:t>ცარიელი ფორმა, მოსარგებად</w:t>
            </w:r>
          </w:p>
        </w:tc>
        <w:tc>
          <w:tcPr/>
          <w:p>
            <w:pPr>
              <w:pStyle w:val="Compact"/>
              <w:jc w:val="left"/>
            </w:pPr>
            <w:r>
              <w:t>გამოშვების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გადახედვის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ანაცვლებს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დაამტკიცა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ხელმოწერა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hyperlink r:id="rId20">
        <w:r>
          <w:rPr>
            <w:rStyle w:val="Hyperlink"/>
          </w:rPr>
          <w:t xml:space="preserve">Standards</w:t>
        </w:r>
      </w:hyperlink>
      <w:r>
        <w:t xml:space="preserve"> ›  › </w:t>
      </w:r>
      <w:r/>
      <w:r/>
      <w:hyperlink r:id="rId21">
        <w:r>
          <w:rPr>
            <w:rStyle w:val="Hyperlink"/>
          </w:rPr>
          <w:t xml:space="preserve">Standard 2A</w:t>
        </w:r>
      </w:hyperlink>
      <w:r/>
      <w:r/>
      <w:r/>
      <w:hyperlink r:id="rId22">
        <w:r>
          <w:rPr>
            <w:rStyle w:val="Hyperlink"/>
          </w:rPr>
          <w:t xml:space="preserve">Registers and logs</w:t>
        </w:r>
      </w:hyperlink>
    </w:p>
    <w:p>
      <w:pPr>
        <w:pStyle w:val="BodyText"/>
      </w:pPr>
      <w:r>
        <w:t>რეგისტრი · QUA-REG-001 · ვერსია 1.1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 </w:t>
      </w:r>
      <w:r/>
      <w:hyperlink r:id="rId23">
        <w:r>
          <w:rPr>
            <w:rStyle w:val="Hyperlink"/>
          </w:rPr>
          <w:t xml:space="preserve">2A.7</w:t>
        </w:r>
      </w:hyperlink>
    </w:p>
    <w:bookmarkStart w:id="24" w:name="purpose"/>
    <w:p>
      <w:pPr>
        <w:pStyle w:val="Heading2"/>
      </w:pPr>
      <w:r>
        <w:t>დანიშნულება</w:t>
      </w:r>
    </w:p>
    <w:p>
      <w:pPr>
        <w:pStyle w:val="FirstParagraph"/>
      </w:pPr>
      <w:r>
        <w:t>აკონტროლებს უსაფრთხოების კულტურის გამოკითხვიდან ყოველ ქმედებას დასრულებამდე.</w:t>
      </w:r>
    </w:p>
    <w:bookmarkEnd w:id="24"/>
    <w:bookmarkStart w:id="25" w:name="how-to-complete"/>
    <w:p>
      <w:pPr>
        <w:pStyle w:val="Heading2"/>
      </w:pPr>
      <w:r>
        <w:t>როგორ შევავსოთ</w:t>
      </w:r>
    </w:p>
    <w:p>
      <w:pPr>
        <w:numPr>
          <w:ilvl w:val="0"/>
          <w:numId w:val="1001"/>
        </w:numPr>
        <w:pStyle w:val="Compact"/>
      </w:pPr>
      <w:r>
        <w:t>შეთანხმებისას დაამატეთ ყოველი ქმედება.</w:t>
      </w:r>
    </w:p>
    <w:p>
      <w:pPr>
        <w:numPr>
          <w:ilvl w:val="0"/>
          <w:numId w:val="1001"/>
        </w:numPr>
        <w:pStyle w:val="Compact"/>
      </w:pPr>
      <w:r>
        <w:t>სტატუსი ყოველკვარტალურად განაახლეთ.</w:t>
      </w:r>
    </w:p>
    <w:p>
      <w:pPr>
        <w:numPr>
          <w:ilvl w:val="0"/>
          <w:numId w:val="1001"/>
        </w:numPr>
        <w:pStyle w:val="Compact"/>
      </w:pPr>
      <w:r>
        <w:t>ქმედება დახურეთ მხოლოდ მაშინ, როცა მისი შედეგი ნაჩვენებია განმეორებით გამოკითხვაში ან საზომში.</w:t>
      </w:r>
    </w:p>
    <w:bookmarkEnd w:id="25"/>
    <w:bookmarkStart w:id="26" w:name="record-fields"/>
    <w:p>
      <w:pPr>
        <w:pStyle w:val="Heading2"/>
      </w:pPr>
      <w:r>
        <w:t>ჩასაწერი ველები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მოქმედება</w:t>
            </w:r>
          </w:p>
        </w:tc>
        <w:tc>
          <w:tcPr/>
          <w:p>
            <w:pPr>
              <w:pStyle w:val="Compact"/>
              <w:jc w:val="left"/>
            </w:pPr>
            <w:r>
              <w:t>გამოკითხვის განზომილება, რომელსაც ეხება</w:t>
            </w:r>
          </w:p>
        </w:tc>
        <w:tc>
          <w:tcPr/>
          <w:p>
            <w:pPr>
              <w:pStyle w:val="Compact"/>
              <w:jc w:val="left"/>
            </w:pPr>
            <w:r>
              <w:t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>ვადა</w:t>
            </w:r>
          </w:p>
        </w:tc>
        <w:tc>
          <w:tcPr/>
          <w:p>
            <w:pPr>
              <w:pStyle w:val="Compact"/>
              <w:jc w:val="left"/>
            </w:pPr>
            <w:r>
              <w:t>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>სტატუსი</w:t>
            </w:r>
          </w:p>
        </w:tc>
        <w:tc>
          <w:tcPr/>
          <w:p>
            <w:pPr>
              <w:pStyle w:val="Compact"/>
              <w:jc w:val="left"/>
            </w:pPr>
            <w:r>
              <w:t>ნაჩვენები შედეგი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6"/>
    <w:bookmarkStart w:id="27" w:name="evidence"/>
    <w:p>
      <w:pPr>
        <w:pStyle w:val="Heading2"/>
      </w:pPr>
      <w:r>
        <w:t>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E-009</w:t>
            </w:r>
          </w:p>
        </w:tc>
        <w:tc>
          <w:tcPr/>
          <w:p>
            <w:pPr>
              <w:pStyle w:val="Compact"/>
              <w:jc w:val="left"/>
            </w:pPr>
            <w:r>
              <w:t>ASF ექსპერტთა კომიტეტის კონსენსუსი.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7"/>
    <w:bookmarkStart w:id="28" w:name="change-history"/>
    <w:p>
      <w:pPr>
        <w:pStyle w:val="Heading2"/>
      </w:pPr>
      <w:r>
        <w:t>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1.0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დამტკიცებულია ASF ექსპერტთა კომიტეტის მიერ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1.1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შიდა ხარისხის მიმოხილვა: შესწორდა ჯვარედინი მითითებები, სტატუსის ფორმულირებები და დოკუმენტების კონტროლი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დამტკიცებულია ASF ექსპერტთა კომიტეტის მიერ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8"/>
    <w:bookmarkStart w:id="30" w:name="references"/>
    <w:p>
      <w:pPr>
        <w:pStyle w:val="Heading2"/>
      </w:pPr>
      <w:r>
        <w:t>წყაროები</w:t>
      </w:r>
    </w:p>
    <w:p>
      <w:pPr>
        <w:numPr>
          <w:ilvl w:val="0"/>
          <w:numId w:val="1002"/>
        </w:numPr>
        <w:pStyle w:val="Compact"/>
      </w:pPr>
      <w:r>
        <w:t>Accréditation Sans Frontières (2026). ASF Expert Committee consensus on Standard 1. (E-009)</w:t>
      </w:r>
      <w:r/>
      <w:r/>
    </w:p>
    <w:p>
      <w:pPr>
        <w:pStyle w:val="FirstParagraph"/>
      </w:pPr>
      <w:hyperlink r:id="rId29">
        <w:r>
          <w:rPr>
            <w:rStyle w:val="Hyperlink"/>
          </w:rPr>
          <w:t xml:space="preserve">Download this document as PDF</w:t>
        </w:r>
      </w:hyperlink>
    </w:p>
    <w:bookmarkEnd w:id="30"/>
    <w:sectPr>
      <w:headerReference w:type="default" r:id="rId9"/>
      <w:footerReference w:type="default" r:id="rId10"/>
      <w:pgSz w:w="11906" w:h="16838"/>
      <w:pgMar w:left="794" w:right="794" w:top="794" w:bottom="90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22" Type="http://schemas.openxmlformats.org/officeDocument/2006/relationships/hyperlink" Target="/resources/register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standard-2a/" TargetMode="External"/><Relationship Id="rId23" Type="http://schemas.openxmlformats.org/officeDocument/2006/relationships/hyperlink" Target="/standards/standard-2a/#c2a-7" TargetMode="External"/><Relationship Id="rId29" Type="http://schemas.openxmlformats.org/officeDocument/2006/relationships/hyperlink" Target="https://france-asf.fr/wp-content/uploads/2026/10/qua-reg-001.pdf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notes.xml.rels><?xml version='1.0' encoding='UTF-8' standalone='yes'?>
<Relationships xmlns="http://schemas.openxmlformats.org/package/2006/relationships"><Relationship Id="rId22" Type="http://schemas.openxmlformats.org/officeDocument/2006/relationships/hyperlink" Target="/resources/register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standard-2a/" TargetMode="External"/><Relationship Id="rId23" Type="http://schemas.openxmlformats.org/officeDocument/2006/relationships/hyperlink" Target="/standards/standard-2a/#c2a-7" TargetMode="External"/><Relationship Id="rId29" Type="http://schemas.openxmlformats.org/officeDocument/2006/relationships/hyperlink" Target="https://france-asf.fr/wp-content/uploads/2026/10/qua-reg-00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QUA-REG-001: Safety Culture Action Plan Register</dc:title>
  <dc:creator/>
  <cp:keywords/>
  <dcterms:created xsi:type="dcterms:W3CDTF">2026-10-28T21:34:47Z</dcterms:created>
  <dcterms:modified xsi:type="dcterms:W3CDTF">2026-10-28T21:34:47Z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