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2A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რეესტრები და ჟურნალები</w:t>
        </w:r>
      </w:hyperlink>
    </w:p>
    <w:p>
      <w:pPr>
        <w:pStyle w:val="BodyText"/>
      </w:pPr>
      <w:r>
        <w:t xml:space="preserve">რეგისტრი · QUA-REG-002 · ვერსია 1.1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2A.8</w:t>
        </w:r>
      </w:hyperlink>
    </w:p>
    <w:bookmarkStart w:id="24" w:name="მიზანი"/>
    <w:p>
      <w:pPr>
        <w:pStyle w:val="Heading2"/>
      </w:pPr>
      <w:r>
        <w:t xml:space="preserve">მიზანი</w:t>
      </w:r>
    </w:p>
    <w:p>
      <w:pPr>
        <w:pStyle w:val="FirstParagraph"/>
      </w:pPr>
      <w:r>
        <w:t xml:space="preserve">ყოველკვარტალური შეჯამება ყოველი სერვისის სტაციონარში ყოფნისას პაციენტის უკუკავშირზე, მმართველი ორგანოსთვის.</w:t>
      </w:r>
    </w:p>
    <w:bookmarkEnd w:id="24"/>
    <w:bookmarkStart w:id="25" w:name="როგორ-შევავსოთ"/>
    <w:p>
      <w:pPr>
        <w:pStyle w:val="Heading2"/>
      </w:pPr>
      <w:r>
        <w:t xml:space="preserve">როგორ შევავსოთ</w:t>
      </w:r>
    </w:p>
    <w:p>
      <w:pPr>
        <w:numPr>
          <w:ilvl w:val="0"/>
          <w:numId w:val="1001"/>
        </w:numPr>
        <w:pStyle w:val="Compact"/>
      </w:pPr>
      <w:r>
        <w:t xml:space="preserve">დათვალეთ პასუხები თითოეულ კითხვაზე სერვისის მიხედვით.</w:t>
      </w:r>
    </w:p>
    <w:p>
      <w:pPr>
        <w:numPr>
          <w:ilvl w:val="0"/>
          <w:numId w:val="1001"/>
        </w:numPr>
        <w:pStyle w:val="Compact"/>
      </w:pPr>
      <w:r>
        <w:t xml:space="preserve">აღნიშნეთ სამი ძირითადი თემა კომენტარებიდან.</w:t>
      </w:r>
    </w:p>
    <w:p>
      <w:pPr>
        <w:numPr>
          <w:ilvl w:val="0"/>
          <w:numId w:val="1001"/>
        </w:numPr>
        <w:pStyle w:val="Compact"/>
      </w:pPr>
      <w:r>
        <w:t xml:space="preserve">ჩამოთვალეთ მიღებული ქმედებები და მათი სტატუსი.</w:t>
      </w:r>
    </w:p>
    <w:p>
      <w:pPr>
        <w:numPr>
          <w:ilvl w:val="0"/>
          <w:numId w:val="1001"/>
        </w:numPr>
        <w:pStyle w:val="Compact"/>
      </w:pPr>
      <w:r>
        <w:t xml:space="preserve">ხელი მოაწერეთ ხარისხის ხელმძღვანელმა და გაუგზავნეთ მმართველ ორგანოს.</w:t>
      </w:r>
    </w:p>
    <w:bookmarkEnd w:id="25"/>
    <w:bookmarkStart w:id="26" w:name="ჩანაწერის-ველები"/>
    <w:p>
      <w:pPr>
        <w:pStyle w:val="Heading2"/>
      </w:pPr>
      <w:r>
        <w:t xml:space="preserve">ჩანაწერის ველები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მომსახურება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დადებითი (%)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ძირითადი თემები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წამოჭრილი შეშფოთებები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მიღებული ქმედებები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ქმედებების სტატუსი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6"/>
    <w:bookmarkStart w:id="27" w:name="მტკიცებულებები"/>
    <w:p>
      <w:pPr>
        <w:pStyle w:val="Heading2"/>
      </w:pPr>
      <w:r>
        <w:t xml:space="preserve"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კონსენსუსი.</w:t>
            </w:r>
          </w:p>
        </w:tc>
      </w:tr>
    </w:tbl>
    <w:bookmarkEnd w:id="27"/>
    <w:bookmarkStart w:id="28" w:name="ცვლილებების-ისტორია"/>
    <w:p>
      <w:pPr>
        <w:pStyle w:val="Heading2"/>
      </w:pPr>
      <w:r>
        <w:t xml:space="preserve"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დამტკიცებულია ASF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შიდა ხარისხის განხილვა: გასწორებულია ჯვარედინი მითითებები, სტატუსის ფორმულირება და დოკუმენტის კონტროლი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დამტკიცებულია ASF ექსპერტთა კომიტეტის მიერ</w:t>
            </w:r>
          </w:p>
        </w:tc>
      </w:tr>
    </w:tbl>
    <w:bookmarkEnd w:id="28"/>
    <w:bookmarkStart w:id="30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02"/>
        </w:numPr>
        <w:pStyle w:val="Compact"/>
      </w:pPr>
      <w:hyperlink r:id="rId29">
        <w:r>
          <w:rPr>
            <w:rStyle w:val="Hyperlink"/>
          </w:rPr>
          <w:t xml:space="preserve">ჩივილების დამუშავება და პაციენტის უკუკავშირი</w:t>
        </w:r>
      </w:hyperlink>
      <w:r>
        <w:t xml:space="preserve"> </w:t>
      </w:r>
      <w:r>
        <w:t xml:space="preserve">(T-12)</w:t>
      </w:r>
    </w:p>
    <w:bookmarkEnd w:id="30"/>
    <w:bookmarkStart w:id="33" w:name="ციტირებული-წყაროები"/>
    <w:p>
      <w:pPr>
        <w:pStyle w:val="Heading2"/>
      </w:pPr>
      <w:r>
        <w:t xml:space="preserve">ციტირებული წყაროები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ექსპერტთა კომიტეტის კონსენსუსი სტანდარტ 1-ზე.</w:t>
      </w:r>
      <w:r>
        <w:t xml:space="preserve"> </w:t>
      </w:r>
      <w:r>
        <w:t xml:space="preserve">(E-009)</w:t>
      </w:r>
    </w:p>
    <w:p>
      <w:pPr>
        <w:pStyle w:val="FirstParagraph"/>
      </w:pPr>
      <w:hyperlink r:id="rId31">
        <w:r>
          <w:rPr>
            <w:rStyle w:val="Hyperlink"/>
          </w:rPr>
          <w:t xml:space="preserve">ჩამოტვირთეთ დოკუმენტი PDF ფორმატში</w:t>
        </w:r>
      </w:hyperlink>
    </w:p>
    <w:p>
      <w:pPr>
        <w:pStyle w:val="BodyText"/>
      </w:pPr>
      <w:hyperlink r:id="rId32">
        <w:r>
          <w:rPr>
            <w:rStyle w:val="Hyperlink"/>
          </w:rPr>
          <w:t xml:space="preserve">ჩამოტვირთეთ დოკუმენტი რედაქტირებადი Word ფაილის სახით</w:t>
        </w:r>
      </w:hyperlink>
    </w:p>
    <w:bookmarkEnd w:id="33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ka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22" Target="/ka/resources/register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2a/" TargetMode="External" /><Relationship Type="http://schemas.openxmlformats.org/officeDocument/2006/relationships/hyperlink" Id="rId23" Target="/ka/standards/standard-2a/#c2a-8" TargetMode="External" /><Relationship Type="http://schemas.openxmlformats.org/officeDocument/2006/relationships/hyperlink" Id="rId29" Target="https://academy.gmj.ge/courses/asf-t-12-en/" TargetMode="External" /><Relationship Type="http://schemas.openxmlformats.org/officeDocument/2006/relationships/hyperlink" Id="rId32" Target="https://france-asf.fr/wp-content/uploads/2026/10/qua-reg-002-form-1.docx" TargetMode="External" /><Relationship Type="http://schemas.openxmlformats.org/officeDocument/2006/relationships/hyperlink" Id="rId31" Target="https://france-asf.fr/wp-content/uploads/2026/10/qua-reg-002-form-a4-1.pd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2" Target="/ka/resources/register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2a/" TargetMode="External" /><Relationship Type="http://schemas.openxmlformats.org/officeDocument/2006/relationships/hyperlink" Id="rId23" Target="/ka/standards/standard-2a/#c2a-8" TargetMode="External" /><Relationship Type="http://schemas.openxmlformats.org/officeDocument/2006/relationships/hyperlink" Id="rId29" Target="https://academy.gmj.ge/courses/asf-t-12-en/" TargetMode="External" /><Relationship Type="http://schemas.openxmlformats.org/officeDocument/2006/relationships/hyperlink" Id="rId32" Target="https://france-asf.fr/wp-content/uploads/2026/10/qua-reg-002-form-1.docx" TargetMode="External" /><Relationship Type="http://schemas.openxmlformats.org/officeDocument/2006/relationships/hyperlink" Id="rId31" Target="https://france-asf.fr/wp-content/uploads/2026/10/qua-reg-002-form-a4-1.pd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language>ka</dc:language>
  <cp:keywords/>
  <dcterms:created xsi:type="dcterms:W3CDTF">2026-11-07T01:50:03Z</dcterms:created>
  <dcterms:modified xsi:type="dcterms:W3CDTF">2026-11-07T01:50:03Z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