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QUA-SOP-001: უსაფრთხოების კულტურის გამოკითხვის პროცედურა</w:t>
      </w:r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უსაფრთხოების კულტურის გამოკითხვის პროცედურა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QUA-SOP-001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2A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QUA-SOP-001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2A.7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გამოიყენეთ დადასტურებული უსაფრთხოების კულტურის გამოკითხვა, და არა სახლში შედგენილი კითხვარი.</w:t>
      </w:r>
    </w:p>
    <w:p>
      <w:pPr>
        <w:numPr>
          <w:ilvl w:val="0"/>
          <w:numId w:val="1001"/>
        </w:numPr>
        <w:pStyle w:val="Compact"/>
      </w:pPr>
      <w:r>
        <w:t>გამოკითხვა ჩაატარეთ მინიმუმ ორ წელიწადში ერთხელ, ყოველ ჯერზე ერთი და იგივე ინსტრუმენტით და მაღალი პასუხის მაჩვენებლით.</w:t>
      </w:r>
    </w:p>
    <w:p>
      <w:pPr>
        <w:numPr>
          <w:ilvl w:val="0"/>
          <w:numId w:val="1001"/>
        </w:numPr>
        <w:pStyle w:val="Compact"/>
      </w:pPr>
      <w:r>
        <w:t>შედეგები ყველა თანამშრომელს გაუზიარეთ 60 დღეში, სუსტი სფეროების ჩათვლით.</w:t>
      </w:r>
    </w:p>
    <w:p>
      <w:pPr>
        <w:numPr>
          <w:ilvl w:val="0"/>
          <w:numId w:val="1001"/>
        </w:numPr>
        <w:pStyle w:val="Compact"/>
      </w:pPr>
      <w:r>
        <w:t>შეათანხმეთ მცირე რაოდენობის ქმედებები პასუხისმგებლებით და ყოველკვარტალურად შეამოწმეთ პროგრესი.</w:t>
      </w:r>
    </w:p>
    <w:p>
      <w:pPr>
        <w:numPr>
          <w:ilvl w:val="0"/>
          <w:numId w:val="1001"/>
        </w:numPr>
        <w:pStyle w:val="Compact"/>
      </w:pPr>
      <w:r>
        <w:t>გაიმეორეთ გამოკითხვა და შეადარეთ.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და მიიღეთ დახმარება, თუ: გამოკითხვა ჩატარდა დაუდასტურებელი ინსტრუმენტით, შედეგები არ ეცნობა, ან ქმედებებს არ მოჰყვება შემოწმება.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გასაზომად, გრძნობენ თუ არა თანამშრომლები თავს უსაფრთხოდ შეცდომებისა და შეშფოთებების შესატყობინებლად, და იმის მიხედვით მოქმედებისთვის, რასაც გამოკითხვა აჩვენებს [EC].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ყველა თანამშრომელი, მათ შორის კლინიკური, არაკლინიკური, დროებითი და ბანკის თანამშრომლები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მომსახურება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ყოველ ორ წელიწადში ერთხელ; შედეგები 60 დღეში ეცნობება; ქმედებები ყოველკვარტალურად მოწმდება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გამოცდილება, რომელიც იზომება CON-SOP-002-ის მიხედვით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დადასტურებული ინსტრუმენტი</w:t>
            </w:r>
          </w:p>
        </w:tc>
        <w:tc>
          <w:tcPr/>
          <w:p>
            <w:pPr>
              <w:pStyle w:val="Compact"/>
              <w:jc w:val="left"/>
            </w:pPr>
            <w:r>
              <w:t>კითხვარი, რომელიც გამოქვეყნებულ კვლევებში ნამდვილობასა და სანდოობაზეა შემოწმებული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უსაფრთხოების კულტურა</w:t>
            </w:r>
          </w:p>
        </w:tc>
        <w:tc>
          <w:tcPr/>
          <w:p>
            <w:pPr>
              <w:pStyle w:val="Compact"/>
              <w:jc w:val="left"/>
            </w:pPr>
            <w:r>
              <w:t>ის საერთო ღირებულებები, დამოკიდებულებები და პრაქტიკა, რომლებიც განსაზღვრავს, როგორ იმართება უსაფრთხოება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პასუხების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იმ მოწვეული თანამშრომლების პროცენტი, რომლებიც გამოკითხვას ასრულებენ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საჩივრების არარსებობა უსაფრთხო კულტურას არ ადასტურებს. თანამშრომლები, რომლებიც არ გრძნობენ თავს უსაფრთხოდ, რომ ისაუბრონ, შეცდომებს არ აცნობებენ. დადასტურებული გამოკითხვა ამას პირდაპირ ზომავს, რაც კრიტერიუმ 2A.7-ის მოთხოვნაა [EC].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ირჩევს ინსტრუმენტს, ატარებს გამოკითხვას, აანალიზებს და აცნობებს შედეგებს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გამოკითხვის ანალიზის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ამოქმედებს გამოკითხვას; ათანხმებს ქმედებებს; აცნობებს მმართველ ორგანოს</w:t>
            </w:r>
          </w:p>
        </w:tc>
        <w:tc>
          <w:tcPr/>
          <w:p>
            <w:pPr>
              <w:pStyle w:val="Compact"/>
              <w:jc w:val="left"/>
            </w:pPr>
            <w:r>
              <w:t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მომსახურების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>შედეგები გუნდებს გააცანით; თავიანთი სფეროს ქმედებებზე იყავით 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მენეჯმენტის სწავლება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პერსონალის ყველა წევრი</w:t>
            </w:r>
          </w:p>
        </w:tc>
        <w:tc>
          <w:tcPr/>
          <w:p>
            <w:pPr>
              <w:pStyle w:val="Compact"/>
              <w:jc w:val="left"/>
            </w:pPr>
            <w:r>
              <w:t>შეავსეთ გამოკითხვა გულწრფელად და კონფიდენციალურად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>ბრიფინგი ინდუქციისას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დადასტურებული გამოკითხვის ინსტრუმენტი (QUA-FRM-001)</w:t>
            </w:r>
          </w:p>
        </w:tc>
        <w:tc>
          <w:tcPr/>
          <w:p>
            <w:pPr>
              <w:pStyle w:val="Compact"/>
              <w:jc w:val="left"/>
            </w:pPr>
            <w:r>
              <w:t>დასახელებული ინსტრუმენტი ლიცენზიით ან გამოყენების უფლებით; კომიტეტი ირჩევს მას (EC)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 და ლიცენზია აღრიცხულია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ქმედებების გეგმის რეგისტრი (QUA-REG-001)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ყოველკვარტალურად განახლდება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გამოკითხვები ანონიმურია. ცალკეული პირების იდენტიფიცირება ჯგუფურ შედეგებზე არ სცადოთ.</w:t>
      </w:r>
    </w:p>
    <w:p>
      <w:pPr>
        <w:numPr>
          <w:ilvl w:val="0"/>
          <w:numId w:val="1002"/>
        </w:numPr>
        <w:pStyle w:val="Compact"/>
      </w:pPr>
      <w:r>
        <w:t>გამოკითხვა ინდივიდუალური დისციპლინარული ზომებისთვის არ გამოიყენოთ.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აირჩიეთ ინსტრუმენტი და დაადასტურეთ მისი გამოყენების უფლება.</w:t>
      </w:r>
    </w:p>
    <w:p>
      <w:pPr>
        <w:numPr>
          <w:ilvl w:val="0"/>
          <w:numId w:val="1003"/>
        </w:numPr>
        <w:pStyle w:val="Compact"/>
      </w:pPr>
      <w:r>
        <w:t>თანამშრომლებს აუხსენით, რატომ ტარდება გამოკითხვა, როგორ გამოიყენება შედეგები და რომ ის ანონიმურია.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ეტაპი 1. აირჩიეთ დადასტურებული ინსტრუმენტი.</w:t>
      </w:r>
    </w:p>
    <w:p>
      <w:pPr>
        <w:numPr>
          <w:ilvl w:val="0"/>
          <w:numId w:val="1004"/>
        </w:numPr>
        <w:pStyle w:val="Compact"/>
      </w:pPr>
      <w:r>
        <w:t>აირჩიეთ დადასტურებული უსაფრთხოების კულტურის გამოკითხვა გამოქვეყნებული კვლევიდან, შემოწმებული ლიცენზიით ან ნებართვით (EC).</w:t>
      </w:r>
    </w:p>
    <w:p>
      <w:pPr>
        <w:numPr>
          <w:ilvl w:val="0"/>
          <w:numId w:val="1004"/>
        </w:numPr>
        <w:pStyle w:val="Compact"/>
      </w:pPr>
      <w:r>
        <w:t>აღრიცხეთ ინსტრუმენტის სახელი, ვერსია და წყარო გამოკითხვის ჩანაწერზე.</w:t>
      </w:r>
    </w:p>
    <w:p>
      <w:pPr>
        <w:pStyle w:val="FirstParagraph"/>
      </w:pPr>
      <w:r>
        <w:rPr>
          <w:bCs/>
          <w:b/>
        </w:rPr>
        <w:t>მთავარი დებულება: მხოლოდ დადასტურებული ინსტრუმენტი იძლევა შედეგებს, რომლებიც დროთა განმავლობაში შედარებადია.</w:t>
      </w:r>
      <w:r/>
      <w:r/>
    </w:p>
    <w:p>
      <w:pPr>
        <w:pStyle w:val="BodyText"/>
      </w:pPr>
      <w:r>
        <w:t>ეტაპი 2. ჩაატარეთ გამოკითხვა.</w:t>
      </w:r>
    </w:p>
    <w:p>
      <w:pPr>
        <w:numPr>
          <w:ilvl w:val="0"/>
          <w:numId w:val="1005"/>
        </w:numPr>
        <w:pStyle w:val="Compact"/>
      </w:pPr>
      <w:r>
        <w:t>გამოკითხვა გაუგზავნეთ ყველა თანამშრომელს, მკაფიო ახსნით და დახურვის ვადით მინიმუმ ოთხი კვირა.</w:t>
      </w:r>
    </w:p>
    <w:p>
      <w:pPr>
        <w:numPr>
          <w:ilvl w:val="0"/>
          <w:numId w:val="1005"/>
        </w:numPr>
        <w:pStyle w:val="Compact"/>
      </w:pPr>
      <w:r>
        <w:t>გაუგზავნეთ მინიმუმ ორი შეხსენება.</w:t>
      </w:r>
    </w:p>
    <w:p>
      <w:pPr>
        <w:numPr>
          <w:ilvl w:val="0"/>
          <w:numId w:val="1005"/>
        </w:numPr>
        <w:pStyle w:val="Compact"/>
      </w:pPr>
      <w:r>
        <w:t>მიზნად დაისახეთ კომიტეტის მიერ დადგენილი პასუხის მაჩვენებელი (EC).</w:t>
      </w:r>
    </w:p>
    <w:p>
      <w:pPr>
        <w:pStyle w:val="FirstParagraph"/>
      </w:pPr>
      <w:r>
        <w:rPr>
          <w:bCs/>
          <w:b/>
        </w:rPr>
        <w:t>მთავარი დებულება: დაბალი პასუხის მაჩვენებელი შედეგს არასანდოს ხდის, ამიტომ შეხსენების ეტაპი არასავალდებულო არ არის.</w:t>
      </w:r>
      <w:r/>
      <w:r/>
    </w:p>
    <w:p>
      <w:pPr>
        <w:pStyle w:val="BodyText"/>
      </w:pPr>
      <w:r>
        <w:t>ეტაპი 3. გააანალიზეთ შედეგები.</w:t>
      </w:r>
    </w:p>
    <w:p>
      <w:pPr>
        <w:numPr>
          <w:ilvl w:val="0"/>
          <w:numId w:val="1006"/>
        </w:numPr>
        <w:pStyle w:val="Compact"/>
      </w:pPr>
      <w:r>
        <w:t>გამოთვალეთ ქულა ინსტრუმენტის თითოეული განზომილებისთვის, მომსახურებისა და დაწესებულებისთვის.</w:t>
      </w:r>
    </w:p>
    <w:p>
      <w:pPr>
        <w:numPr>
          <w:ilvl w:val="0"/>
          <w:numId w:val="1006"/>
        </w:numPr>
        <w:pStyle w:val="Compact"/>
      </w:pPr>
      <w:r>
        <w:t>შეადარეთ წინა ციკლს და ნებისმიერ გამოქვეყნებულ საორიენტაციო მაჩვენებელს, სადაც ის არსებობს.</w:t>
      </w:r>
    </w:p>
    <w:p>
      <w:pPr>
        <w:numPr>
          <w:ilvl w:val="0"/>
          <w:numId w:val="1006"/>
        </w:numPr>
        <w:pStyle w:val="Compact"/>
      </w:pPr>
      <w:r>
        <w:t>განსაზღვრეთ სამი ყველაზე სუსტი განზომილება.</w:t>
      </w:r>
    </w:p>
    <w:p>
      <w:pPr>
        <w:pStyle w:val="FirstParagraph"/>
      </w:pPr>
      <w:r>
        <w:rPr>
          <w:bCs/>
          <w:b/>
        </w:rPr>
        <w:t>მთავარი დებულება: ყველაზე სუსტი სფეროები აჩვენებს, სად არის რისკი. არა მხოლოდ საშუალო მაჩვენებელი მოახსენოთ.</w:t>
      </w:r>
      <w:r/>
      <w:r/>
    </w:p>
    <w:p>
      <w:pPr>
        <w:pStyle w:val="BodyText"/>
      </w:pPr>
      <w:r>
        <w:t>ეტაპი 4. გაუზიარეთ შედეგები.</w:t>
      </w:r>
    </w:p>
    <w:p>
      <w:pPr>
        <w:numPr>
          <w:ilvl w:val="0"/>
          <w:numId w:val="1007"/>
        </w:numPr>
        <w:pStyle w:val="Compact"/>
      </w:pPr>
      <w:r>
        <w:t>დახურვიდან 60 დღეში გაუზიარეთ დაწესებულების შედეგები ყველა თანამშრომელს.</w:t>
      </w:r>
    </w:p>
    <w:p>
      <w:pPr>
        <w:numPr>
          <w:ilvl w:val="0"/>
          <w:numId w:val="1007"/>
        </w:numPr>
        <w:pStyle w:val="Compact"/>
      </w:pPr>
      <w:r>
        <w:t>თითოეულ მომსახურებას მისი საკუთარი შედეგები მიეცით მარტივი შეჯამებით.</w:t>
      </w:r>
    </w:p>
    <w:p>
      <w:pPr>
        <w:numPr>
          <w:ilvl w:val="0"/>
          <w:numId w:val="1007"/>
        </w:numPr>
        <w:pStyle w:val="Compact"/>
      </w:pPr>
      <w:r>
        <w:t>აუხსენით, რა შეიცვლება შედეგად და რა — არა.</w:t>
      </w:r>
    </w:p>
    <w:p>
      <w:pPr>
        <w:pStyle w:val="FirstParagraph"/>
      </w:pPr>
      <w:r>
        <w:rPr>
          <w:bCs/>
          <w:b/>
        </w:rPr>
        <w:t>მთავარი დებულება: თანამშრომლები, რომლებიც შედეგებს არასდროს იგებენ, მონაწილეობას წყვეტენ.</w:t>
      </w:r>
      <w:r/>
      <w:r/>
    </w:p>
    <w:p>
      <w:pPr>
        <w:pStyle w:val="BodyText"/>
      </w:pPr>
      <w:r>
        <w:t>ეტაპი 5. შეათანხმეთ ქმედებები.</w:t>
      </w:r>
    </w:p>
    <w:p>
      <w:pPr>
        <w:numPr>
          <w:ilvl w:val="0"/>
          <w:numId w:val="1008"/>
        </w:numPr>
        <w:pStyle w:val="Compact"/>
      </w:pPr>
      <w:r>
        <w:t>დაწესებულებისთვის არაუმეტეს სამი-ხუთი ქმედებისა შეთანხმდით, და თითოეული მომსახურებისთვის ერთი-ორი.</w:t>
      </w:r>
    </w:p>
    <w:p>
      <w:pPr>
        <w:numPr>
          <w:ilvl w:val="0"/>
          <w:numId w:val="1008"/>
        </w:numPr>
        <w:pStyle w:val="Compact"/>
      </w:pPr>
      <w:r>
        <w:t>თითოეული ქმედება QUA-REG-001-ზე შეიტანეთ პასუხისმგებლით, ვადითა და საზომით.</w:t>
      </w:r>
    </w:p>
    <w:p>
      <w:pPr>
        <w:pStyle w:val="FirstParagraph"/>
      </w:pPr>
      <w:r>
        <w:rPr>
          <w:bCs/>
          <w:b/>
        </w:rPr>
        <w:t>მთავარი დებულება: ზედმეტი ქმედება ნიშნავს, რომ არცერთი არ კეთდება.</w:t>
      </w:r>
      <w:r/>
      <w:r/>
    </w:p>
    <w:p>
      <w:pPr>
        <w:pStyle w:val="BodyText"/>
      </w:pPr>
      <w:r>
        <w:t>ეტაპი 6. შეამოწმეთ პროგრესი და გაიმეორეთ.</w:t>
      </w:r>
    </w:p>
    <w:p>
      <w:pPr>
        <w:numPr>
          <w:ilvl w:val="0"/>
          <w:numId w:val="1009"/>
        </w:numPr>
        <w:pStyle w:val="Compact"/>
      </w:pPr>
      <w:r>
        <w:t>ყოველკვარტალურად შეამოწმეთ პროგრესი მმართველ ორგანოსთან ერთად.</w:t>
      </w:r>
    </w:p>
    <w:p>
      <w:pPr>
        <w:numPr>
          <w:ilvl w:val="0"/>
          <w:numId w:val="1009"/>
        </w:numPr>
        <w:pStyle w:val="Compact"/>
      </w:pPr>
      <w:r>
        <w:t>შემდეგ ციკლზე გაიმეორეთ გამოკითხვა იმავე ინსტრუმენტით და შეადარეთ ქულები.</w:t>
      </w:r>
    </w:p>
    <w:p>
      <w:pPr>
        <w:pStyle w:val="FirstParagraph"/>
      </w:pPr>
      <w:r>
        <w:rPr>
          <w:bCs/>
          <w:b/>
        </w:rPr>
        <w:t>მთავარი დებულება: განმეორებითი გამოკითხვა არის მტკიცებულება იმისა, რომ ქმედებები იმუშავა.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>თუ პასუხის მაჩვენებელი მიზნობრივზე დაბალია, გამოკითხვის პერიოდი ერთხელ გაახანგრძლივეთ და დაბალი მაჩვენებელი შედეგებთან ერთად აცნობეთ.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პატარა მომსახურება, ცოტა თანამშრომლით</w:t>
            </w:r>
          </w:p>
        </w:tc>
        <w:tc>
          <w:tcPr/>
          <w:p>
            <w:pPr>
              <w:pStyle w:val="Compact"/>
              <w:jc w:val="left"/>
            </w:pPr>
            <w:r>
              <w:t>შედეგები მხოლოდ მაშინ აჩვენეთ, თუ მინიმუმ ხუთმა თანამშრომელმა უპასუხა, ანონიმურობის დასაცავად (EC).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11"/>
        </w:numPr>
        <w:pStyle w:val="Compact"/>
      </w:pPr>
      <w:r>
        <w:t>შედეგები, რომლებიც სერიოზულ შეშფოთებას აჩენს ლაპარაკთან დაკავშირებით, მიდის აღმასრულებელ დირექტორთან და მმართველ ორგანოსთან მომდევნო სხდომაზე.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გამოკითხვა ჩატარებულია ბოლო 2 წელიწადში დადასტურებული ინსტრუმენტით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  <w:tc>
          <w:tcPr/>
          <w:p>
            <w:pPr>
              <w:pStyle w:val="Compact"/>
              <w:jc w:val="left"/>
            </w:pPr>
            <w:r>
              <w:t>წლიური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შედეგები გაზიარებულია 60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ციკლში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ქმედებები პასუხისმგებლითა და ვადით, 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გამოკითხვის ინსტრუმენტი და ლიცენზია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გამოკითხვის ციკლის ხანგრძლივობა, პლუს დაწესებულების ჩანაწერების პოლიტიკით განსაზღვრული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გამოკითხვის შედეგები და ანალიზი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ქმედებების გეგმა (QUA-REG-001)</w:t>
            </w:r>
          </w:p>
        </w:tc>
        <w:tc>
          <w:tcPr/>
          <w:p>
            <w:pPr>
              <w:pStyle w:val="Compact"/>
              <w:jc w:val="left"/>
            </w:pPr>
            <w:r>
              <w:t>ხარისხის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2"/>
        </w:numPr>
        <w:pStyle w:val="Compact"/>
      </w:pPr>
      <w:r>
        <w:t>ხარისხის ხელმძღვანელები გადამზადებულნი არიან გამოკითხვის ჩატარებასა და ანალიზში (EC).</w:t>
      </w:r>
    </w:p>
    <w:p>
      <w:pPr>
        <w:numPr>
          <w:ilvl w:val="0"/>
          <w:numId w:val="1012"/>
        </w:numPr>
        <w:pStyle w:val="Compact"/>
      </w:pPr>
      <w:r>
        <w:t>თანამშრომლები იღებენ ბრიფინგს გამოკითხვაზე და იმაზე, როგორ აცნობონ შეშფოთებები.</w:t>
      </w:r>
    </w:p>
    <w:bookmarkEnd w:id="38"/>
    <w:bookmarkStart w:id="42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QUA-FRM-001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უსაფრთხოების კულტურის გამოკითხვა</w:t>
            </w:r>
          </w:p>
        </w:tc>
        <w:tc>
          <w:tcPr/>
          <w:p>
            <w:pPr>
              <w:pStyle w:val="Compact"/>
              <w:jc w:val="left"/>
            </w:pPr>
            <w:r>
              <w:t>გამოკითხვის 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QUA-REG-001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უსაფრთხოების კულტურის ქმედებების გეგმის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ქმედებების თვალყურის დევნება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GOV-PLN-002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ხარისხის გაუმჯობესების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>ქმედებები გეგმას კვებავს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SOP-N21</w:t>
            </w:r>
          </w:p>
        </w:tc>
        <w:tc>
          <w:tcPr/>
          <w:p>
            <w:pPr>
              <w:pStyle w:val="Compact"/>
              <w:jc w:val="left"/>
            </w:pPr>
            <w:r>
              <w:t>შეშფოთების გამჟღავნების (Whistleblowing და Speak-Up) პროცედურა</w:t>
            </w:r>
          </w:p>
        </w:tc>
        <w:tc>
          <w:tcPr/>
          <w:p>
            <w:pPr>
              <w:pStyle w:val="Compact"/>
              <w:jc w:val="left"/>
            </w:pPr>
            <w:r>
              <w:t>გამჟღავნების (speak-up) გზა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EC</w:t>
            </w:r>
          </w:p>
        </w:tc>
        <w:tc>
          <w:tcPr/>
          <w:p>
            <w:pPr>
              <w:pStyle w:val="Compact"/>
              <w:jc w:val="left"/>
            </w:pPr>
            <w:r>
              <w:t>Agency for Healthcare Research and Quality (AHRQ). Hospital Survey on Patient Safety Culture (HSOPSC). დადასტურებული ინსტრუმენტის მაგალითი; ლიცენზიას და ვერსიას ASF ექსპერტთა კომიტეტი ადგენს გამოყენებამდე.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 პასუხის მაჩვენებელი, გამოკითხვის ინტერვალი და ანგარიშგების ზღვრები EC-ის გადაწყვეტილებებია.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1.1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6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3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5">
        <w:r>
          <w:rPr>
            <w:rStyle w:val="Hyperlink"/>
          </w:rPr>
          <w:t xml:space="preserve">Download this document as PDF</w:t>
        </w:r>
      </w:hyperlink>
    </w:p>
    <w:bookmarkEnd w:id="46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1" Type="http://schemas.openxmlformats.org/officeDocument/2006/relationships/hyperlink" Target="/documents/gov-pln-002/" TargetMode="External"/><Relationship Id="rId39" Type="http://schemas.openxmlformats.org/officeDocument/2006/relationships/hyperlink" Target="/documents/qua-frm-001/" TargetMode="External"/><Relationship Id="rId40" Type="http://schemas.openxmlformats.org/officeDocument/2006/relationships/hyperlink" Target="/documents/qua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7" TargetMode="External"/><Relationship Id="rId45" Type="http://schemas.openxmlformats.org/officeDocument/2006/relationships/hyperlink" Target="https://france-asf.fr/wp-content/uploads/2026/10/qua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1" Type="http://schemas.openxmlformats.org/officeDocument/2006/relationships/hyperlink" Target="/documents/gov-pln-002/" TargetMode="External"/><Relationship Id="rId39" Type="http://schemas.openxmlformats.org/officeDocument/2006/relationships/hyperlink" Target="/documents/qua-frm-001/" TargetMode="External"/><Relationship Id="rId40" Type="http://schemas.openxmlformats.org/officeDocument/2006/relationships/hyperlink" Target="/documents/qua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a/" TargetMode="External"/><Relationship Id="rId23" Type="http://schemas.openxmlformats.org/officeDocument/2006/relationships/hyperlink" Target="/standards/standard-2a/#c2a-7" TargetMode="External"/><Relationship Id="rId45" Type="http://schemas.openxmlformats.org/officeDocument/2006/relationships/hyperlink" Target="https://france-asf.fr/wp-content/uploads/2026/10/qua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QUA-SOP-001: Safety Culture Survey Procedure</dc:title>
  <dc:creator/>
  <cp:keywords/>
  <dcterms:created xsi:type="dcterms:W3CDTF">2026-10-28T21:34:47Z</dcterms:created>
  <dcterms:modified xsi:type="dcterms:W3CDTF">2026-10-28T21:34:47Z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