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7532ca530245cd9eccada7c233f8e982b99dd1"/>
    <w:p>
      <w:pPr>
        <w:pStyle w:val="Heading1"/>
      </w:pPr>
      <w:r>
        <w:t xml:space="preserve">REC-POL-001: ჩანაწერების მართვა და შენახვა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REC-POL-001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2A.6</w:t>
        </w:r>
      </w:hyperlink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ჩანაწერების შექმნა, შენახვა, დაცვა და განადგურება ისე, რომ მოვლა კვალდადგენილი იყოს და პაციენტის კონფიდენციალურობა დაცული [E-006, 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p>
      <w:pPr>
        <w:pStyle w:val="FirstParagraph"/>
      </w:pPr>
      <w:r>
        <w:t xml:space="preserve">დაწესებულების ყველა კლინიკური და ადმინისტრაციული ჩანაწერი, ქაღალდისა და ელექტრონული.</w:t>
      </w:r>
    </w:p>
    <w:bookmarkEnd w:id="25"/>
    <w:bookmarkStart w:id="26" w:name="პასუხისმგებლობები"/>
    <w:p>
      <w:pPr>
        <w:pStyle w:val="Heading2"/>
      </w:pPr>
      <w:r>
        <w:t xml:space="preserve">3.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შენახვის გრაფიკს და ატარებს ჩანაწერების აუდიტს.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აკონტროლებს წვდომასა და გამჟღავნებას.</w:t>
            </w:r>
          </w:p>
        </w:tc>
      </w:tr>
    </w:tbl>
    <w:bookmarkEnd w:id="26"/>
    <w:bookmarkStart w:id="27" w:name="პროცედურა"/>
    <w:p>
      <w:pPr>
        <w:pStyle w:val="Heading2"/>
      </w:pPr>
      <w:r>
        <w:t xml:space="preserve">4. პროცედურა</w:t>
      </w:r>
    </w:p>
    <w:p>
      <w:pPr>
        <w:numPr>
          <w:ilvl w:val="0"/>
          <w:numId w:val="1001"/>
        </w:numPr>
        <w:pStyle w:val="Compact"/>
      </w:pPr>
      <w:r>
        <w:t xml:space="preserve">სავალდებულო ჩანაწერების სია (REC-FRM-001) ყოველი პაციენტის ჩანაწერის ნაწილი გახადეთ [EC].</w:t>
      </w:r>
    </w:p>
    <w:p>
      <w:pPr>
        <w:numPr>
          <w:ilvl w:val="0"/>
          <w:numId w:val="1001"/>
        </w:numPr>
        <w:pStyle w:val="Compact"/>
      </w:pPr>
      <w:r>
        <w:t xml:space="preserve">ჩანაწერები შეინახეთ დაწესებულების ჩანაწერების პოლიტიკით დადგენილი პერიოდით ბოლო კონტაქტიდან წლებში, თუ კანონი უფრო ხანგრძლივ ვადას არ მოითხოვს [EC].</w:t>
      </w:r>
    </w:p>
    <w:p>
      <w:pPr>
        <w:numPr>
          <w:ilvl w:val="0"/>
          <w:numId w:val="1001"/>
        </w:numPr>
        <w:pStyle w:val="Compact"/>
      </w:pPr>
      <w:r>
        <w:t xml:space="preserve">წვდომა მიეცით მხოლოდ იმ თანამშრომლებს, ვისაც მოვლისთვის სჭირდება. ელექტრონულ ჩანაწერებზე წვდომა აღნუსხეთ [E-006].</w:t>
      </w:r>
    </w:p>
    <w:p>
      <w:pPr>
        <w:numPr>
          <w:ilvl w:val="0"/>
          <w:numId w:val="1001"/>
        </w:numPr>
        <w:pStyle w:val="Compact"/>
      </w:pPr>
      <w:r>
        <w:t xml:space="preserve">ჩანაწერები უსაფრთხოდ გაანადგურეთ შენახვის ვადის ბოლოს, განადგურების ჩანაწერით [E-006].</w:t>
      </w:r>
    </w:p>
    <w:p>
      <w:pPr>
        <w:numPr>
          <w:ilvl w:val="0"/>
          <w:numId w:val="1001"/>
        </w:numPr>
        <w:pStyle w:val="Compact"/>
      </w:pPr>
      <w:r>
        <w:t xml:space="preserve">ყოველ კვარტალში აუდიტი ჩაუტარეთ 10 ჩანაწერს REC-FRM-002-ით [EC].</w:t>
      </w:r>
    </w:p>
    <w:bookmarkEnd w:id="27"/>
    <w:bookmarkStart w:id="28" w:name="ჩანაწერები"/>
    <w:p>
      <w:pPr>
        <w:pStyle w:val="Heading2"/>
      </w:pPr>
      <w:r>
        <w:t xml:space="preserve">5. ჩანაწერები</w:t>
      </w:r>
    </w:p>
    <w:p>
      <w:pPr>
        <w:pStyle w:val="FirstParagraph"/>
      </w:pPr>
      <w:r>
        <w:t xml:space="preserve">შენახვის გრაფიკი, განადგურების ჟურნალი, ჩანაწერების აუდიტის შედეგები.</w:t>
      </w:r>
    </w:p>
    <w:bookmarkEnd w:id="28"/>
    <w:bookmarkStart w:id="29" w:name="მტკიცებულებები"/>
    <w:p>
      <w:pPr>
        <w:pStyle w:val="Heading2"/>
      </w:pPr>
      <w:r>
        <w:t xml:space="preserve">6.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ეროვნულ შენახვის ვადებს ადგენს ადგილობრივი კანონი.</w:t>
            </w:r>
          </w:p>
        </w:tc>
      </w:tr>
    </w:tbl>
    <w:bookmarkEnd w:id="29"/>
    <w:bookmarkStart w:id="30" w:name="ცვლილებების-ისტორია"/>
    <w:p>
      <w:pPr>
        <w:pStyle w:val="Heading2"/>
      </w:pPr>
      <w:r>
        <w:t xml:space="preserve">7.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30"/>
    <w:bookmarkStart w:id="3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Nonconformity, Corrective Action and Risk</w:t>
        </w:r>
      </w:hyperlink>
      <w:r>
        <w:t xml:space="preserve"> </w:t>
      </w:r>
      <w:r>
        <w:t xml:space="preserve">(T-04)</w:t>
      </w:r>
    </w:p>
    <w:bookmarkEnd w:id="33"/>
    <w:bookmarkStart w:id="3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2a-6" TargetMode="External"/><Relationship Id="rId32" Type="http://schemas.openxmlformats.org/officeDocument/2006/relationships/hyperlink" Target="https://academy.gmj.ge/courses/asf-t-04-en/" TargetMode="External"/><Relationship Id="rId31" Type="http://schemas.openxmlformats.org/officeDocument/2006/relationships/hyperlink" Target="https://academy.gmj.ge/courses/asf-t-09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2a-6" TargetMode="External"/><Relationship Id="rId32" Type="http://schemas.openxmlformats.org/officeDocument/2006/relationships/hyperlink" Target="https://academy.gmj.ge/courses/asf-t-04-en/" TargetMode="External"/><Relationship Id="rId31" Type="http://schemas.openxmlformats.org/officeDocument/2006/relationships/hyperlink" Target="https://academy.gmj.ge/courses/asf-t-09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2026-11-07T01:46:01Z</dcterms:created>
  <dcterms:modified xsi:type="dcterms:W3CDTF">2026-11-07T01:46:01Z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