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SAF-POL-001: ზრდასრულ პირთა უსაფრთხოების პოლიტიკა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ზრდასრულ პირთა უსაფრთხოების პოლიტიკა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SAF-POL-001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BASIS</w:t>
        </w:r>
      </w:hyperlink>
      <w:r/>
      <w:r/>
      <w:r/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>პოლიტიკა · SAF-POL-001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B1.14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დაწესებულების ყოველი ზრდასრული მომსახურებით მოსარგებლე დაცულია ძალადობის, უგულებელყოფის, ექსპლუატაციისა და თვითუგულებელყოფისგან.</w:t>
      </w:r>
    </w:p>
    <w:p>
      <w:pPr>
        <w:numPr>
          <w:ilvl w:val="0"/>
          <w:numId w:val="1001"/>
        </w:numPr>
        <w:pStyle w:val="Compact"/>
      </w:pPr>
      <w:r>
        <w:t>ყოველი თანამშრომელი, ვინც ეჭვობს ძალადობას ან უგულებელყოფას, იმავე დღეს აცნობებს უსაფრთხოების ხელმძღვანელს.</w:t>
      </w:r>
    </w:p>
    <w:p>
      <w:pPr>
        <w:numPr>
          <w:ilvl w:val="0"/>
          <w:numId w:val="1001"/>
        </w:numPr>
        <w:pStyle w:val="Compact"/>
      </w:pPr>
      <w:r>
        <w:t>ყოველი შეტყობინება აღირიცხება, მიმართება სათანადო ორგანოსთვის და მასზე კონტროლი გრძელდება შედეგის აღრიცხვამდე.</w:t>
      </w:r>
    </w:p>
    <w:p>
      <w:pPr>
        <w:numPr>
          <w:ilvl w:val="0"/>
          <w:numId w:val="1001"/>
        </w:numPr>
        <w:pStyle w:val="Compact"/>
      </w:pPr>
      <w:r>
        <w:t>ზრდასრული პირები, რომელთაც არ შესწევთ უნარი, იღებენ მხარდაჭერას თანხმობისა და საუკეთესო ინტერესების პროცესით, და მათი შეხედულებები ეძებება.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ეჭვმიტანილი ძალადობა ან უგულებელყოფა არ არის შეტყობინებული, ან შეტყობინებას არ აქვს აღრიცხული მიმართვა ან შედეგი.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იმისათვის, რომ დაცული იყვნენ დაწესებულებით მოსარგებლე ზრდასრული პირები ზიანისგან, და განისაზღვროს, რა აკეთებენ თანამშრომლები ძალადობის ან უგულებელყოფის ეჭვის შემთხვევაში (B1.14).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ძალადობა</w:t>
            </w:r>
          </w:p>
        </w:tc>
        <w:tc>
          <w:tcPr/>
          <w:p>
            <w:pPr>
              <w:pStyle w:val="Compact"/>
              <w:jc w:val="left"/>
            </w:pPr>
            <w:r>
              <w:t>ნებისმიერი ქმედება ან უმოქმედობა, რომელიც აზიანებს ზრდასრულ პირს, მათ შორის ფიზიკური, სექსუალური, ემოციური ან ფინანსური ძალადობა, უგულებელყოფა, ექსპლუატაცია და დისკრიმინაციული ან ინსტიტუციური ძალადობა.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უგულებელყოფა</w:t>
            </w:r>
          </w:p>
        </w:tc>
        <w:tc>
          <w:tcPr/>
          <w:p>
            <w:pPr>
              <w:pStyle w:val="Compact"/>
              <w:jc w:val="left"/>
            </w:pPr>
            <w:r>
              <w:t>ზრდასრული პირისთვის საჭირო საკვების, წყლის, სითბოს, მედიკამენტების, ჰიგიენის, ზედამხედველობის ან მოვლის უზრუნველყოფის ვერ შესრულება.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თვითუგულებელყოფა</w:t>
            </w:r>
          </w:p>
        </w:tc>
        <w:tc>
          <w:tcPr/>
          <w:p>
            <w:pPr>
              <w:pStyle w:val="Compact"/>
              <w:jc w:val="left"/>
            </w:pPr>
            <w:r>
              <w:t>ზრდასრული პირის მიერ საკუთარი ჯანმრთელობის, უსაფრთხოებისა და გარემოს მოვლის უგულებელყოფა, როცა რისკი მძიმეა.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ქმედუნარიანობა</w:t>
            </w:r>
          </w:p>
        </w:tc>
        <w:tc>
          <w:tcPr/>
          <w:p>
            <w:pPr>
              <w:pStyle w:val="Compact"/>
              <w:jc w:val="left"/>
            </w:pPr>
            <w:r>
              <w:t>ზრდასრული პირის უნარი, გაიგოს, შეინახოს და აწონ-დაწონოს ინფორმაცია, რათა მიიღოს გადაწყვეტილება მაშინ, როცა ის საჭიროა.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იმისათვის, რომ დაცული იყვნენ დაწესებულებით მოსარგებლე ზრდასრული პირები ზიანისგან, და განისაზღვროს, რა აკეთებენ თანამშრომლები ძალადობის ან უგულებელყოფის ეჭვის შემთხვევაში (B1.14).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უსაფრთხოების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იღებს ყოველ შეტყობინებას, წყვეტს მიმართვის საკითხს, აწარმოებს შეტყობინებების რეგისტრს და ანგარიშს აძლევს კლინიკურ დირექტორს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ნებისმიერი 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>ატყობინებს ეჭვს იმავე დღეს, არ იძიებს მარტო, და აღრიცხავს, რაც დაინახა და მოისმინა</w:t>
            </w:r>
          </w:p>
        </w:tc>
        <w:tc>
          <w:tcPr/>
          <w:p>
            <w:pPr>
              <w:pStyle w:val="Compact"/>
              <w:jc w:val="left"/>
            </w:pPr>
            <w:r>
              <w:t>უსაფრთხოების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ატარებს საერთო პასუხისმგებლობას და ყოველკვარტალურად განიხილავს შეტყობინებების რეგისტრს</w:t>
            </w:r>
          </w:p>
        </w:tc>
        <w:tc>
          <w:tcPr/>
          <w:p>
            <w:pPr>
              <w:pStyle w:val="Compact"/>
              <w:jc w:val="left"/>
            </w:pPr>
            <w:r>
              <w:t>მმართველი ორგანო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ამოცნობა.</w:t>
      </w:r>
    </w:p>
    <w:p>
      <w:pPr>
        <w:numPr>
          <w:ilvl w:val="0"/>
          <w:numId w:val="1004"/>
        </w:numPr>
        <w:pStyle w:val="Compact"/>
      </w:pPr>
      <w:r>
        <w:t>შეამჩნიეთ ძალადობის ან უგულებელყოფის ნებისმიერი ნიშანი: აუხსნელი ტრავმა, დისტრესი, გაუცხოება, ცუდი ჰიგიენა, აუხსნელი ფულის დაკარგვა ან ქცევის ცვლილება.</w:t>
      </w:r>
    </w:p>
    <w:p>
      <w:pPr>
        <w:numPr>
          <w:ilvl w:val="0"/>
          <w:numId w:val="1004"/>
        </w:numPr>
        <w:pStyle w:val="Compact"/>
      </w:pPr>
      <w:r>
        <w:t>აღრიცხეთ ფაქტები, როგორც დაინახეთ და მოისმინეთ, სადაც შესაძლებელია, ზრდასრული პირის საკუთარი სიტყვებით. ნუ დაუსვამთ წამყვან კითხვებს.</w:t>
      </w:r>
    </w:p>
    <w:p>
      <w:pPr>
        <w:pStyle w:val="FirstParagraph"/>
      </w:pPr>
      <w:r>
        <w:rPr>
          <w:bCs/>
          <w:b/>
        </w:rPr>
        <w:t>მთავარი: შეტყობინება ამოცნობილი და აღრიცხულია.</w:t>
      </w:r>
      <w:r/>
      <w:r/>
    </w:p>
    <w:p>
      <w:pPr>
        <w:pStyle w:val="BodyText"/>
      </w:pPr>
      <w:r>
        <w:t>ნაბიჯი 2. შეტყობინება.</w:t>
      </w:r>
    </w:p>
    <w:p>
      <w:pPr>
        <w:numPr>
          <w:ilvl w:val="0"/>
          <w:numId w:val="1005"/>
        </w:numPr>
        <w:pStyle w:val="Compact"/>
      </w:pPr>
      <w:r>
        <w:t>აცნობეთ უსაფრთხოების ხელმძღვანელს იმავე დღეს. თუ ზრდასრული პირი უშუალო საფრთხეშია, ჯერ გამოიძახეთ გადაუდებელი სამსახური და შემდეგ აცნობეთ ხელმძღვანელს.</w:t>
      </w:r>
    </w:p>
    <w:p>
      <w:pPr>
        <w:numPr>
          <w:ilvl w:val="0"/>
          <w:numId w:val="1005"/>
        </w:numPr>
        <w:pStyle w:val="Compact"/>
      </w:pPr>
      <w:r>
        <w:t>ნუ აცნობებთ იმ პირს, რომელსაც ძალადობაში ეჭვობენ.</w:t>
      </w:r>
    </w:p>
    <w:p>
      <w:pPr>
        <w:pStyle w:val="FirstParagraph"/>
      </w:pPr>
      <w:r>
        <w:rPr>
          <w:bCs/>
          <w:b/>
        </w:rPr>
        <w:t>მთავარი: ხელმძღვანელი ინფორმირებულია.</w:t>
      </w:r>
      <w:r/>
      <w:r/>
    </w:p>
    <w:p>
      <w:pPr>
        <w:pStyle w:val="BodyText"/>
      </w:pPr>
      <w:r>
        <w:t>ნაბიჯი 3. მიმართვა.</w:t>
      </w:r>
    </w:p>
    <w:p>
      <w:pPr>
        <w:numPr>
          <w:ilvl w:val="0"/>
          <w:numId w:val="1006"/>
        </w:numPr>
        <w:pStyle w:val="Compact"/>
      </w:pPr>
      <w:r>
        <w:t>ხელმძღვანელი წყვეტს, მიმართოს თუ არა სახელმწიფო ორგანოს ან პოლიციას, და აღრიცხავს მიზეზსა და დროს.</w:t>
      </w:r>
    </w:p>
    <w:p>
      <w:pPr>
        <w:numPr>
          <w:ilvl w:val="0"/>
          <w:numId w:val="1006"/>
        </w:numPr>
        <w:pStyle w:val="Compact"/>
      </w:pPr>
      <w:r>
        <w:t>თუ ზრდასრულ პირს არ შესწევს ქმედუნარიანობა, მიმართვამდე მიჰყევით თანხმობისა და საუკეთესო ინტერესების პროცესს, სადაც ეს უსაფრთხოა.</w:t>
      </w:r>
    </w:p>
    <w:p>
      <w:pPr>
        <w:pStyle w:val="FirstParagraph"/>
      </w:pPr>
      <w:r>
        <w:rPr>
          <w:bCs/>
          <w:b/>
        </w:rPr>
        <w:t>მთავარი: მიმართვა გადაწყვეტილია და აღრიცხულია.</w:t>
      </w:r>
      <w:r/>
      <w:r/>
    </w:p>
    <w:p>
      <w:pPr>
        <w:pStyle w:val="BodyText"/>
      </w:pPr>
      <w:r>
        <w:t>ნაბიჯი 4. შემდგომი კონტროლი.</w:t>
      </w:r>
    </w:p>
    <w:p>
      <w:pPr>
        <w:numPr>
          <w:ilvl w:val="0"/>
          <w:numId w:val="1007"/>
        </w:numPr>
        <w:pStyle w:val="Compact"/>
      </w:pPr>
      <w:r>
        <w:t>აღრიცხეთ ყოველი მიმართვის შედეგი შეტყობინებების რეგისტრში.</w:t>
      </w:r>
    </w:p>
    <w:p>
      <w:pPr>
        <w:numPr>
          <w:ilvl w:val="0"/>
          <w:numId w:val="1007"/>
        </w:numPr>
        <w:pStyle w:val="Compact"/>
      </w:pPr>
      <w:r>
        <w:t>მიმართვის შემდეგ შეამოწმეთ ზრდასრული პირის უსაფრთხოება და კეთილდღეობა და გადახედეთ მას გუნდის შემდეგ შეხვედრაზე.</w:t>
      </w:r>
    </w:p>
    <w:p>
      <w:pPr>
        <w:pStyle w:val="FirstParagraph"/>
      </w:pPr>
      <w:r>
        <w:rPr>
          <w:bCs/>
          <w:b/>
        </w:rPr>
        <w:t>მთავარი: შედეგი აღრიცხულია.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შეტყობინებები იმავე დღეს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>უსაფრთხოების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გადაამზადეთ გუნდი და გადასინჯეთ გზა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შეტყობინებები აღრიცხული მიმართვის გადაწყვეტილებითა და შედეგით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>უსაფრთხოების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კლინიკურ დირექტორს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ყველა თანამშრომელი გადის უსაფრთხოების ტრენინგს ადაპტაციისას და ყოველ წელს, აღრიცხული გაგების შემოწმებით.</w:t>
      </w:r>
    </w:p>
    <w:p>
      <w:pPr>
        <w:numPr>
          <w:ilvl w:val="0"/>
          <w:numId w:val="1010"/>
        </w:numPr>
        <w:pStyle w:val="Compact"/>
      </w:pPr>
      <w:r>
        <w:t>უსაფრთხოების ხელმძღვანელი ყოველ ორ წელიწადში ერთხელ გადის მოწინავე ტრენინგს.</w:t>
      </w:r>
    </w:p>
    <w:bookmarkEnd w:id="38"/>
    <w:bookmarkStart w:id="42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SAF-REG-001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ზრდასრულ პირთა უსაფრთხოების შეტყობინებების რეგისტრი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PED-POL-002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ბავშვთა უსაფრთხოება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PSY-SOP-001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თვითმკვლელობის რისკის სკრინინგი და უწყვეტი დაკვირვება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SOP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4"/>
    <w:bookmarkStart w:id="47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5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6">
        <w:r>
          <w:rPr>
            <w:rStyle w:val="Hyperlink"/>
          </w:rPr>
          <w:t xml:space="preserve">Standard 2: Governance and Safety Culture</w:t>
        </w:r>
      </w:hyperlink>
    </w:p>
    <w:bookmarkEnd w:id="47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ped-pol-002/" TargetMode="External"/><Relationship Id="rId41" Type="http://schemas.openxmlformats.org/officeDocument/2006/relationships/hyperlink" Target="/documents/psy-sop-001/" TargetMode="External"/><Relationship Id="rId39" Type="http://schemas.openxmlformats.org/officeDocument/2006/relationships/hyperlink" Target="/documents/saf-reg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1-14" TargetMode="External"/><Relationship Id="rId46" Type="http://schemas.openxmlformats.org/officeDocument/2006/relationships/hyperlink" Target="https://france-asf.fr/standards/standard-2/" TargetMode="External"/><Relationship Id="rId45" Type="http://schemas.openxmlformats.org/officeDocument/2006/relationships/hyperlink" Target="https://france-asf.fr/wp-content/uploads/2026/10/saf-pol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ped-pol-002/" TargetMode="External"/><Relationship Id="rId41" Type="http://schemas.openxmlformats.org/officeDocument/2006/relationships/hyperlink" Target="/documents/psy-sop-001/" TargetMode="External"/><Relationship Id="rId39" Type="http://schemas.openxmlformats.org/officeDocument/2006/relationships/hyperlink" Target="/documents/saf-reg-001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the-basis/" TargetMode="External"/><Relationship Id="rId23" Type="http://schemas.openxmlformats.org/officeDocument/2006/relationships/hyperlink" Target="/standards/the-basis/#cb1-14" TargetMode="External"/><Relationship Id="rId46" Type="http://schemas.openxmlformats.org/officeDocument/2006/relationships/hyperlink" Target="https://france-asf.fr/standards/standard-2/" TargetMode="External"/><Relationship Id="rId45" Type="http://schemas.openxmlformats.org/officeDocument/2006/relationships/hyperlink" Target="https://france-asf.fr/wp-content/uploads/2026/10/saf-pol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SAF-POL-001: Adult safeguarding policy</dc:title>
  <dc:creator/>
  <cp:keywords/>
  <dcterms:created xsi:type="dcterms:W3CDTF">2026-10-28T21:34:26Z</dcterms:created>
  <dcterms:modified xsi:type="dcterms:W3CDTF">2026-10-28T21:34:26Z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