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SIR-REG-001: სერიოზული ინციდენტების რეგისტრი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რეგისტრი</w:t>
            </w:r>
          </w:p>
          <w:p>
            <w:pPr>
              <w:pStyle w:val="Compact"/>
              <w:jc w:val="left"/>
            </w:pPr>
            <w:r>
              <w:t>სერიოზული ინციდენტების რეგისტრი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SIR-REG-001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BASIS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Registers and logs</w:t>
        </w:r>
      </w:hyperlink>
    </w:p>
    <w:p>
      <w:pPr>
        <w:pStyle w:val="BodyText"/>
      </w:pPr>
      <w:r>
        <w:t>რეგისტრი · SIR-REG-001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B2.6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აფიქსირებს ყოველ სერიოზულ ინციდენტს, მის გამოძიებას, ქმედებების გეგმასა და პაციენტთან გაზიარებულ შედეგს. ეს არის მტკიცებულება, რომ სერიოზული ინციდენტები მოწმდება და მათზე რეაგირდება.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ყოველი სერიოზული ინციდენტი იმავე დღეს აღრიცხეთ, როცა ის ეცნობება, თარიღის, ზონისა და დაზარალებული პირების მითითებით.</w:t>
      </w:r>
    </w:p>
    <w:p>
      <w:pPr>
        <w:numPr>
          <w:ilvl w:val="0"/>
          <w:numId w:val="1001"/>
        </w:numPr>
        <w:pStyle w:val="Compact"/>
      </w:pPr>
      <w:r>
        <w:t>აღრიცხეთ გამომძიებელი, გამოძიების დაწყების თარიღი და თარიღი, როცა ანგარიში მმართველმა ორგანომ დაამტკიცა.</w:t>
      </w:r>
    </w:p>
    <w:p>
      <w:pPr>
        <w:numPr>
          <w:ilvl w:val="0"/>
          <w:numId w:val="1001"/>
        </w:numPr>
        <w:pStyle w:val="Compact"/>
      </w:pPr>
      <w:r>
        <w:t>ყოველი ქმედება აღრიცხეთ პასუხისმგებელი პირით, ვადითა და შემოწმების თარიღით.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ინციდენტი იმავე დღეს ეცნობა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გამომძიებელი დანიშნულია 5 სამუშაო დღეში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ანგარიში დამტკიცებულია მმართველი ორგანოს მიერ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ყოველ ქმედებას აქვს პასუხისმგებელი პირი, ვადა და შემოწმების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შედეგი გაზიარებულია პაციენტსა და ოჯახთან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28"/>
    <w:bookmarkStart w:id="31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Standard 2: Governance and Safety Culture</w:t>
        </w:r>
      </w:hyperlink>
    </w:p>
    <w:bookmarkEnd w:id="31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the-basis/" TargetMode="External"/><Relationship Id="rId23" Type="http://schemas.openxmlformats.org/officeDocument/2006/relationships/hyperlink" Target="/standards/the-basis/#cb2-6" TargetMode="External"/><Relationship Id="rId30" Type="http://schemas.openxmlformats.org/officeDocument/2006/relationships/hyperlink" Target="https://france-asf.fr/standards/standard-2/" TargetMode="External"/><Relationship Id="rId29" Type="http://schemas.openxmlformats.org/officeDocument/2006/relationships/hyperlink" Target="https://france-asf.fr/wp-content/uploads/2026/10/sir-reg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the-basis/" TargetMode="External"/><Relationship Id="rId23" Type="http://schemas.openxmlformats.org/officeDocument/2006/relationships/hyperlink" Target="/standards/the-basis/#cb2-6" TargetMode="External"/><Relationship Id="rId30" Type="http://schemas.openxmlformats.org/officeDocument/2006/relationships/hyperlink" Target="https://france-asf.fr/standards/standard-2/" TargetMode="External"/><Relationship Id="rId29" Type="http://schemas.openxmlformats.org/officeDocument/2006/relationships/hyperlink" Target="https://france-asf.fr/wp-content/uploads/2026/10/sir-reg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SIR-REG-001: Serious incident register</dc:title>
  <dc:creator/>
  <cp:keywords/>
  <dcterms:created xsi:type="dcterms:W3CDTF">2026-10-28T21:34:24Z</dcterms:created>
  <dcterms:modified xsi:type="dcterms:W3CDTF">2026-10-28T21:34:24Z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