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SIR-SOP-001: სერიოზული ინციდენტის გამოძიების პროცედურა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სერიოზული ინციდენტის გამოძიების პროცედურა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SIR-SOP-001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BASIS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SOP · SIR-SOP-001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B2.6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სერიოზული ინციდენტი იმავე დღეს ეცნობება კლინიკურ დირექტორს, ხოლო პაციენტი უსაფრთხოდ და მხარდაჭერით არის უზრუნველყოფილი.</w:t>
      </w:r>
    </w:p>
    <w:p>
      <w:pPr>
        <w:numPr>
          <w:ilvl w:val="0"/>
          <w:numId w:val="1001"/>
        </w:numPr>
        <w:pStyle w:val="Compact"/>
      </w:pPr>
      <w:r>
        <w:t>დასახელებული გამომძიებელი დანიშნულია 5 სამუშაო დღეში, ხოლო გამოძიება მიჰყვება აღიარებულ ძირეული მიზეზის ანალიზის მეთოდს.</w:t>
      </w:r>
    </w:p>
    <w:p>
      <w:pPr>
        <w:numPr>
          <w:ilvl w:val="0"/>
          <w:numId w:val="1001"/>
        </w:numPr>
        <w:pStyle w:val="Compact"/>
      </w:pPr>
      <w:r>
        <w:t>გამოძიების შედეგებსა და პასუხისმგებელი პირებითა და ვადებით ქმედებების გეგმას მმართველი ორგანო ამტკიცებს.</w:t>
      </w:r>
    </w:p>
    <w:p>
      <w:pPr>
        <w:numPr>
          <w:ilvl w:val="0"/>
          <w:numId w:val="1001"/>
        </w:numPr>
        <w:pStyle w:val="Compact"/>
      </w:pPr>
      <w:r>
        <w:t>პაციენტსა და ოჯახს შედეგს ატყობინებენ გამჟღავნების პროცესის მეშვეობით (CAN-POL-001).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მოითხოვეთ დახმარება, თუ: სერიოზული ინციდენტი იმავე დღეს არ არის ნაცნობი, ან გამოძიება არ იწყება.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ყოველი სერიოზული ინციდენტი ეცნობოს, საფუძვლიანად გამოიძიებოს და გადაიქცეს ქმედებად, რომელიც განმეორებას თავიდან აიცილებს (B2.6).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სერიოზული ინციდენტი</w:t>
            </w:r>
          </w:p>
        </w:tc>
        <w:tc>
          <w:tcPr/>
          <w:p>
            <w:pPr>
              <w:pStyle w:val="Compact"/>
              <w:jc w:val="left"/>
            </w:pPr>
            <w:r>
              <w:t>მოულოდნელი მოვლენა, რომელიც იწვევს ან შეიძლება გამოიწვიოს პაციენტის, პერსონალის წევრის ან სტუმრის სიკვდილი, სერიოზული დაზიანება ან სერიოზული ზიანი, ან მომსახურების მნიშვნელოვანი შეწყვეტა.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ძირეული მიზეზის ანალიზი</w:t>
            </w:r>
          </w:p>
        </w:tc>
        <w:tc>
          <w:tcPr/>
          <w:p>
            <w:pPr>
              <w:pStyle w:val="Compact"/>
              <w:jc w:val="left"/>
            </w:pPr>
            <w:r>
              <w:t>სტრუქტურირებული მეთოდი, რომელიც მოვლენის უკან არსებულ სისტემურ ფაქტორებს განიხილავს და არა კონკრეტულ პირს ადანაშაულებს.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ქმედებების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გამოძიებიდან შეთანხმებული ცვლილებების სია, თითოეულზე პასუხისმგებელი პირით, ვადითა და შემოწმების გზით იმის დასადასტურებლად, რომ ის ეფექტურია.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იმისათვის, რომ ყოველი სერიოზული ინციდენტი ეცნობოს, საფუძვლიანად გამოიძიებოს და გადაიქცეს ქმედებად, რომელიც განმეორებას თავიდან აიცილებს (B2.6).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იმავე დღეს იღებს ყოველ სერიოზულ ინციდენტს, ნიშნავს გამომძიებელს და ანგარიშს აბარებს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გამომძიებელი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ხელმძღვანელობს გამოძიებას, ესაუბრება ჩართულ პირებს და წერს ანგარიშს ქმედებების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ანგარიშსა და ქმედებების გეგმას და ყოველ კვარტალში ამოწმებს პროგრესს</w:t>
            </w:r>
          </w:p>
        </w:tc>
        <w:tc>
          <w:tcPr/>
          <w:p>
            <w:pPr>
              <w:pStyle w:val="Compact"/>
              <w:jc w:val="left"/>
            </w:pPr>
            <w:r>
              <w:t>მფლობელი ან საბჭო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პერსონალის ყველა წევრი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სერიოზული ინციდენტი იმავე დღეს შეატყობინეთ და მტკიცებულებები უსაფრთხოდ შეინახეთ</w:t>
            </w:r>
          </w:p>
        </w:tc>
        <w:tc>
          <w:tcPr/>
          <w:p>
            <w:pPr>
              <w:pStyle w:val="Compact"/>
              <w:jc w:val="left"/>
            </w:pPr>
            <w:r>
              <w:t>პალატის ან განყოფილების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შეტყობინება.</w:t>
      </w:r>
    </w:p>
    <w:p>
      <w:pPr>
        <w:numPr>
          <w:ilvl w:val="0"/>
          <w:numId w:val="1004"/>
        </w:numPr>
        <w:pStyle w:val="Compact"/>
      </w:pPr>
      <w:r>
        <w:t>ინციდენტი იმავე დღეს შეატყობინეთ კლინიკურ დირექტორს, ინციდენტის ფორმის გამოყენებით.</w:t>
      </w:r>
    </w:p>
    <w:p>
      <w:pPr>
        <w:numPr>
          <w:ilvl w:val="0"/>
          <w:numId w:val="1004"/>
        </w:numPr>
        <w:pStyle w:val="Compact"/>
      </w:pPr>
      <w:r>
        <w:t>უზრუნველყავით პაციენტის უსაფრთხოება და მხარდაჭერა და შეინახეთ შესაბამისი ჩანაწერები და აღჭურვილობა.</w:t>
      </w:r>
    </w:p>
    <w:p>
      <w:pPr>
        <w:pStyle w:val="FirstParagraph"/>
      </w:pPr>
      <w:r>
        <w:rPr>
          <w:bCs/>
          <w:b/>
        </w:rPr>
        <w:t>მთავარი წერტილი: ინციდენტი იმავე დღეს არის ნაცნობი.</w:t>
      </w:r>
      <w:r/>
      <w:r/>
    </w:p>
    <w:p>
      <w:pPr>
        <w:pStyle w:val="BodyText"/>
      </w:pPr>
      <w:r>
        <w:t>ნაბიჯი 2. დანიშვნა.</w:t>
      </w:r>
    </w:p>
    <w:p>
      <w:pPr>
        <w:numPr>
          <w:ilvl w:val="0"/>
          <w:numId w:val="1005"/>
        </w:numPr>
        <w:pStyle w:val="Compact"/>
      </w:pPr>
      <w:r>
        <w:t>კლინიკური დირექტორი 5 სამუშაო დღეში ნიშნავს გამომძიებელს, რომელსაც მოვლენაში პირდაპირი მონაწილეობა არ მიუღია.</w:t>
      </w:r>
    </w:p>
    <w:p>
      <w:pPr>
        <w:pStyle w:val="FirstParagraph"/>
      </w:pPr>
      <w:r>
        <w:rPr>
          <w:bCs/>
          <w:b/>
        </w:rPr>
        <w:t>მთავარი წერტილი: გამომძიებელი დანიშნულია.</w:t>
      </w:r>
      <w:r/>
      <w:r/>
    </w:p>
    <w:p>
      <w:pPr>
        <w:pStyle w:val="BodyText"/>
      </w:pPr>
      <w:r>
        <w:t>ნაბიჯი 3. გამოძიება.</w:t>
      </w:r>
    </w:p>
    <w:p>
      <w:pPr>
        <w:numPr>
          <w:ilvl w:val="0"/>
          <w:numId w:val="1006"/>
        </w:numPr>
        <w:pStyle w:val="Compact"/>
      </w:pPr>
      <w:r>
        <w:t>შეაგროვეთ ჩანაწერები, ესაუბრეთ ჩართულ პირებს და აღწერეთ მოვლენები და სისტემური ფაქტორები აღიარებული ძირეული მიზეზის ანალიზის მეთოდით.</w:t>
      </w:r>
    </w:p>
    <w:p>
      <w:pPr>
        <w:numPr>
          <w:ilvl w:val="0"/>
          <w:numId w:val="1006"/>
        </w:numPr>
        <w:pStyle w:val="Compact"/>
      </w:pPr>
      <w:r>
        <w:t>დაასრულეთ ანგარიში მმართველი ორგანოს მიერ დადგენილ ვადაში (ნაკარნახევია 45 სამუშაო დღის პროექტი).</w:t>
      </w:r>
    </w:p>
    <w:p>
      <w:pPr>
        <w:pStyle w:val="FirstParagraph"/>
      </w:pPr>
      <w:r>
        <w:rPr>
          <w:bCs/>
          <w:b/>
        </w:rPr>
        <w:t>მთავარი წერტილი: ანგარიში დასრულებულია.</w:t>
      </w:r>
      <w:r/>
      <w:r/>
    </w:p>
    <w:p>
      <w:pPr>
        <w:pStyle w:val="BodyText"/>
      </w:pPr>
      <w:r>
        <w:t>ნაბიჯი 4. ქმედება და დახურვა.</w:t>
      </w:r>
    </w:p>
    <w:p>
      <w:pPr>
        <w:numPr>
          <w:ilvl w:val="0"/>
          <w:numId w:val="1007"/>
        </w:numPr>
        <w:pStyle w:val="Compact"/>
      </w:pPr>
      <w:r>
        <w:t>შეათანხმეთ ქმედებების გეგმა, თითოეულ ქმედებაზე პასუხისმგებელი პირითა და ვადით, და ყოველი ქმედება ვადაზე შეამოწმეთ.</w:t>
      </w:r>
    </w:p>
    <w:p>
      <w:pPr>
        <w:numPr>
          <w:ilvl w:val="0"/>
          <w:numId w:val="1007"/>
        </w:numPr>
        <w:pStyle w:val="Compact"/>
      </w:pPr>
      <w:r>
        <w:t>შედეგი პაციენტსა და ოჯახს გამჟღავნების პროცესით (CAN-POL-001) აცნობეთ და აღრიცხეთ რეგისტრში (SIR-REG-001).</w:t>
      </w:r>
    </w:p>
    <w:p>
      <w:pPr>
        <w:pStyle w:val="FirstParagraph"/>
      </w:pPr>
      <w:r>
        <w:rPr>
          <w:bCs/>
          <w:b/>
        </w:rPr>
        <w:t>მთავარი წერტილი: ქმედებები შეთანხმებულია და შედეგი გაზიარებულია.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სერიოზული ინციდენტები იმავე დღეს არის ნაცნობი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გამოძიებები დასრულებულია დადგენილ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 or more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იხილეთ გამომძიებლის დატვირთვა და ვადები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ქმედებების გეგმები პასუხისმგებელი პირითა და ვადით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გამომძიებლები თავიანთი პირველი გამოძიებამდე გადიან ძირეული მიზეზის ანალიზის ტრენინგს და მას სამ წელიწადში ერთხელ ანახლებენ.</w:t>
      </w:r>
    </w:p>
    <w:p>
      <w:pPr>
        <w:numPr>
          <w:ilvl w:val="0"/>
          <w:numId w:val="1010"/>
        </w:numPr>
        <w:pStyle w:val="Compact"/>
      </w:pPr>
      <w:r>
        <w:t>პერსონალის ყველა წევრს ადაპტაციის დროს ეცნობება, როგორ შეატყობინოს სერიოზული ინციდენტი.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SIR-REG-001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სერიოზული ინციდენტების რეგისტრი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CAN-POL-001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გულწრფელობისა და გამჟღავნების პოლიტიკა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3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Standard 2: Governance and Safety Culture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can-pol-001/" TargetMode="External"/><Relationship Id="rId39" Type="http://schemas.openxmlformats.org/officeDocument/2006/relationships/hyperlink" Target="/documents/sir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6" TargetMode="External"/><Relationship Id="rId45" Type="http://schemas.openxmlformats.org/officeDocument/2006/relationships/hyperlink" Target="https://france-asf.fr/standards/standard-2/" TargetMode="External"/><Relationship Id="rId44" Type="http://schemas.openxmlformats.org/officeDocument/2006/relationships/hyperlink" Target="https://france-asf.fr/wp-content/uploads/2026/10/sir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can-pol-001/" TargetMode="External"/><Relationship Id="rId39" Type="http://schemas.openxmlformats.org/officeDocument/2006/relationships/hyperlink" Target="/documents/sir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6" TargetMode="External"/><Relationship Id="rId45" Type="http://schemas.openxmlformats.org/officeDocument/2006/relationships/hyperlink" Target="https://france-asf.fr/standards/standard-2/" TargetMode="External"/><Relationship Id="rId44" Type="http://schemas.openxmlformats.org/officeDocument/2006/relationships/hyperlink" Target="https://france-asf.fr/wp-content/uploads/2026/10/sir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SIR-SOP-001: Serious incident investigation procedure</dc:title>
  <dc:creator/>
  <cp:keywords/>
  <dcterms:created xsi:type="dcterms:W3CDTF">2026-10-28T21:34:24Z</dcterms:created>
  <dcterms:modified xsi:type="dcterms:W3CDTF">2026-10-28T21:34:24Z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