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19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სტანდარტული საოპერაციო პროცედურები (SOP)</w:t>
        </w:r>
      </w:hyperlink>
    </w:p>
    <w:p>
      <w:pPr>
        <w:pStyle w:val="BodyText"/>
      </w:pPr>
      <w:r>
        <w:t xml:space="preserve">პროცედურა · SPC-SOP-002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19.5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უარყავით სინჯი, რომელსაც არასწორი ეტიკეტი აქვს, ჟონავს ან დაგვიანებულია, და ნუ ჩაატარებთ მის ტესტირებას.</w:t>
      </w:r>
    </w:p>
    <w:p>
      <w:pPr>
        <w:numPr>
          <w:ilvl w:val="0"/>
          <w:numId w:val="1001"/>
        </w:numPr>
        <w:pStyle w:val="Compact"/>
      </w:pPr>
      <w:r>
        <w:t xml:space="preserve">ჩაწერეთ მიზეზი SPC-REG-002-ზე.</w:t>
      </w:r>
    </w:p>
    <w:p>
      <w:pPr>
        <w:numPr>
          <w:ilvl w:val="0"/>
          <w:numId w:val="1001"/>
        </w:numPr>
        <w:pStyle w:val="Compact"/>
      </w:pPr>
      <w:r>
        <w:t xml:space="preserve">იმავე დღეს აცნობეთ მომთხოვნს და ჩაწერეთ, როგორ აცნობეთ.</w:t>
      </w:r>
    </w:p>
    <w:p>
      <w:pPr>
        <w:numPr>
          <w:ilvl w:val="0"/>
          <w:numId w:val="1001"/>
        </w:numPr>
        <w:pStyle w:val="Compact"/>
      </w:pPr>
      <w:r>
        <w:t xml:space="preserve">მოაწყვეთ ახალი სინჯის აღება, სადაც შესაძლებელია.</w:t>
      </w:r>
    </w:p>
    <w:p>
      <w:pPr>
        <w:numPr>
          <w:ilvl w:val="0"/>
          <w:numId w:val="1001"/>
        </w:numPr>
        <w:pStyle w:val="Compact"/>
      </w:pPr>
      <w:r>
        <w:t xml:space="preserve">შეჩერდით და დაუყოვნებლივ მოითხოვეთ დახმარება, თუ: ჟონავი სინჯი მაინც გატესტდა.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იმისთვის, რომ არასათანადო სინჯები უარყოფილი იყოს, ჩაწერილი იყოს და მომთხოვნი ინფორმირებული იყოს (19.5).</w:t>
      </w:r>
    </w:p>
    <w:bookmarkEnd w:id="24"/>
    <w:bookmarkStart w:id="25" w:name="მოქმედების-სფერო"/>
    <w:p>
      <w:pPr>
        <w:pStyle w:val="Heading2"/>
      </w:pPr>
      <w:r>
        <w:t xml:space="preserve"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სტაციონარის კლინიკური და დამხმარე პერსონალი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ადგილმდებარეობა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ობიექტის ყველა პალატა, კლინიკა და განყოფილება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ყოველთვის, როცა აღწერილი საქმიანობა სრულდება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საქმიანობა, რომელიც დაფარულია დოკუმენტით, ჩამოთვლილი მე-15 პუნქტში</w:t>
            </w:r>
          </w:p>
        </w:tc>
      </w:tr>
    </w:tbl>
    <w:bookmarkEnd w:id="25"/>
    <w:bookmarkStart w:id="26" w:name="ტერმინთა-განმარტებები"/>
    <w:p>
      <w:pPr>
        <w:pStyle w:val="Heading2"/>
      </w:pPr>
      <w:r>
        <w:t xml:space="preserve">3. ტერმინთა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კლინიკური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ექიმი ან ექთანი, რომელიც ამ მომენტში პასუხისმგებელია ამ მიმართულებაზე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სინჯი, რომელსაც არასწორი ეტიკეტი აქვს, ჟონავს ან ძალიან ძველია, არ უნდა გატესტდეს, რადგან შედეგი იქნება არასწორი ან საშიში. მისი უარყოფა და მიზეზის ჩაწერა არის ის, რაც არასწორ შედეგებს სამედიცინო ისტორიიდან იშორებს.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სინჯის შემკრები პერსონალი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უარყოფა, ჩაწერა და შეტყობინება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თანამშრომლები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ჩანაწერები და ფორმები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გამოყენებამდე მოწმდება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შეაჩერეთ და გამოიძახეთ დახმარება, თუ პაციენტი უშუალო რისკის ქვეშაა. არ გადადოთ გადაუდებელი მკურნალობა დოკუმენტაციის შევსების გამო.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დარწმუნდით, რომ დოკუმენტში დასახელებული ფორმები და აღჭურვილობა ხელმისაწვდომია და აქტუალურია.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უარყავით.</w:t>
      </w:r>
    </w:p>
    <w:p>
      <w:pPr>
        <w:numPr>
          <w:ilvl w:val="0"/>
          <w:numId w:val="1004"/>
        </w:numPr>
        <w:pStyle w:val="Compact"/>
      </w:pPr>
      <w:r>
        <w:t xml:space="preserve">უარყავით არასათანადო სინჯი და ნუ გააგზავნით ტესტირებაზე.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უარყოფილია.</w:t>
      </w:r>
    </w:p>
    <w:p>
      <w:pPr>
        <w:pStyle w:val="BodyText"/>
      </w:pPr>
      <w:r>
        <w:t xml:space="preserve">ნაბიჯი 2. აღრიცხვა.</w:t>
      </w:r>
    </w:p>
    <w:p>
      <w:pPr>
        <w:numPr>
          <w:ilvl w:val="0"/>
          <w:numId w:val="1005"/>
        </w:numPr>
        <w:pStyle w:val="Compact"/>
      </w:pPr>
      <w:r>
        <w:t xml:space="preserve">ჩაწერეთ მიზეზი SPC-REG-002-ზე.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ჩაწერილია.</w:t>
      </w:r>
    </w:p>
    <w:p>
      <w:pPr>
        <w:pStyle w:val="BodyText"/>
      </w:pPr>
      <w:r>
        <w:t xml:space="preserve">ნაბიჯი 3. აცნობეთ.</w:t>
      </w:r>
    </w:p>
    <w:p>
      <w:pPr>
        <w:numPr>
          <w:ilvl w:val="0"/>
          <w:numId w:val="1006"/>
        </w:numPr>
        <w:pStyle w:val="Compact"/>
      </w:pPr>
      <w:r>
        <w:t xml:space="preserve">იმავე დღეს აცნობეთ მომთხოვნს და ჩაწერეთ როგორ.</w:t>
      </w:r>
    </w:p>
    <w:p>
      <w:pPr>
        <w:pStyle w:val="FirstParagraph"/>
      </w:pPr>
      <w:r>
        <w:rPr>
          <w:bCs/>
          <w:b/>
        </w:rPr>
        <w:t xml:space="preserve">ძირითადი წერტილი:</w:t>
      </w:r>
      <w:r>
        <w:t xml:space="preserve"> </w:t>
      </w:r>
      <w:r>
        <w:t xml:space="preserve">ინფორმირებულია.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7"/>
        </w:numPr>
        <w:pStyle w:val="Compact"/>
      </w:pPr>
      <w:r>
        <w:t xml:space="preserve">ამ პროცედურაში გადაწყვეტილების წერტილები არ არის.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არასამუშაო საათები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მიჰყევით იმავე ნაბიჯებს. გამოიყენეთ სამორიგეო საკონტაქტო ინფორმაცია, რომელიც არის ამ მიმართულების კედელზე.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8"/>
        </w:numPr>
        <w:pStyle w:val="Compact"/>
      </w:pPr>
      <w:r>
        <w:t xml:space="preserve">ნებისმიერი სერიოზული პრობლემა დაუყოვნებლივ გადაეცემა მოვალეობის მქონე კლინიკურ ხელმძღვანელს, ხოლო იმავე დღეს — კლინიკურ დირექტორს.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საზომი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უარყოფილი სინჯები მიზეზითა და მომთხოვნის ინფორმირებით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ყოველთვიურად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კოლექციის პუნქტის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ესკალაცია სამედიცინო დირექტორთან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ამ დოკუმენტში დასახელებული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პაციენტის ჩანაწერი ან მიმართულების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ობიექტის ჩანაწერების პოლიტიკით დადგენილი პერიოდი, წლები</w:t>
            </w:r>
          </w:p>
        </w:tc>
      </w:tr>
    </w:tbl>
    <w:bookmarkEnd w:id="37"/>
    <w:bookmarkStart w:id="38" w:name="ტრენინგი"/>
    <w:p>
      <w:pPr>
        <w:pStyle w:val="Heading2"/>
      </w:pPr>
      <w:r>
        <w:t xml:space="preserve">15. ტრენინგი</w:t>
      </w:r>
    </w:p>
    <w:p>
      <w:pPr>
        <w:numPr>
          <w:ilvl w:val="0"/>
          <w:numId w:val="1009"/>
        </w:numPr>
        <w:pStyle w:val="Compact"/>
      </w:pPr>
      <w:r>
        <w:t xml:space="preserve">პერსონალი ამ დოკუმენტში ტრენინგდება დასაქმებისას და ყოველ წელს განახლდება, ჩაწერილი კომპეტენციის შემოწმებით.</w:t>
      </w:r>
    </w:p>
    <w:bookmarkEnd w:id="38"/>
    <w:bookmarkStart w:id="40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SPC-REG-002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სინჯის უარყოფის ჟურნალი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რეგისტრი</w:t>
            </w:r>
          </w:p>
        </w:tc>
      </w:tr>
    </w:tbl>
    <w:bookmarkEnd w:id="40"/>
    <w:bookmarkStart w:id="41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პოლიტიკის ჩარჩო v1.2. ადაპტირებულია.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41"/>
    <w:bookmarkStart w:id="42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ექსპერტთა კომიტეტის დამტკიცება</w:t>
            </w:r>
          </w:p>
        </w:tc>
      </w:tr>
    </w:tbl>
    <w:bookmarkEnd w:id="42"/>
    <w:bookmarkStart w:id="44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0"/>
        </w:numPr>
        <w:pStyle w:val="Compact"/>
      </w:pPr>
      <w:hyperlink r:id="rId43">
        <w:r>
          <w:rPr>
            <w:rStyle w:val="Hyperlink"/>
          </w:rPr>
          <w:t xml:space="preserve">ინციდენტის შეტყობინება, სამართლიანი კულტურა და ღია ინფორმაცია</w:t>
        </w:r>
      </w:hyperlink>
      <w:r>
        <w:t xml:space="preserve"> </w:t>
      </w:r>
      <w:r>
        <w:t xml:space="preserve">(T-09)</w:t>
      </w:r>
    </w:p>
    <w:bookmarkEnd w:id="44"/>
    <w:bookmarkStart w:id="47" w:name="ციტირებული-წყაროები"/>
    <w:p>
      <w:pPr>
        <w:pStyle w:val="Heading2"/>
      </w:pPr>
      <w:r>
        <w:t xml:space="preserve">ციტირებული წყაროები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პოლიტიკის ჩარჩო v1.2.</w:t>
      </w:r>
      <w:r>
        <w:t xml:space="preserve"> </w:t>
      </w:r>
      <w:r>
        <w:t xml:space="preserve">(E-006)</w:t>
      </w:r>
    </w:p>
    <w:p>
      <w:pPr>
        <w:numPr>
          <w:ilvl w:val="0"/>
          <w:numId w:val="1011"/>
        </w:numPr>
        <w:pStyle w:val="Compact"/>
      </w:pPr>
      <w:r>
        <w:t xml:space="preserve">Accréditation Sans Frontières (2026). ASF ექსპერტთა კომიტეტის კონსენსუსი სტანდარტ 1-ზე.</w:t>
      </w:r>
      <w:r>
        <w:t xml:space="preserve"> </w:t>
      </w:r>
      <w:r>
        <w:t xml:space="preserve">(E-009)</w:t>
      </w:r>
    </w:p>
    <w:p>
      <w:pPr>
        <w:pStyle w:val="FirstParagraph"/>
      </w:pPr>
      <w:hyperlink r:id="rId45">
        <w:r>
          <w:rPr>
            <w:rStyle w:val="Hyperlink"/>
          </w:rPr>
          <w:t xml:space="preserve">ჩამოტვირთეთ დოკუმენტი PDF ფორმატში</w:t>
        </w:r>
      </w:hyperlink>
    </w:p>
    <w:p>
      <w:pPr>
        <w:pStyle w:val="BodyText"/>
      </w:pPr>
      <w:hyperlink r:id="rId46">
        <w:r>
          <w:rPr>
            <w:rStyle w:val="Hyperlink"/>
          </w:rPr>
          <w:t xml:space="preserve">ჩამოტვირთეთ დოკუმენტი რედაქტირებადი Word ფაილის სახით</w:t>
        </w:r>
      </w:hyperlink>
    </w:p>
    <w:bookmarkEnd w:id="47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39" Target="/ka/documents/spc-reg-002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9/" TargetMode="External" /><Relationship Type="http://schemas.openxmlformats.org/officeDocument/2006/relationships/hyperlink" Id="rId23" Target="/ka/standards/standard-19/#c19-5" TargetMode="External" /><Relationship Type="http://schemas.openxmlformats.org/officeDocument/2006/relationships/hyperlink" Id="rId43" Target="https://academy.gmj.ge/courses/asf-t-09-en/" TargetMode="External" /><Relationship Type="http://schemas.openxmlformats.org/officeDocument/2006/relationships/hyperlink" Id="rId46" Target="https://france-asf.fr/wp-content/uploads/2026/10/spc-sop-002-form-1.docx" TargetMode="External" /><Relationship Type="http://schemas.openxmlformats.org/officeDocument/2006/relationships/hyperlink" Id="rId45" Target="https://france-asf.fr/wp-content/uploads/2026/10/spc-sop-002-form-a4-1.pd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9" Target="/ka/documents/spc-reg-002/" TargetMode="External" /><Relationship Type="http://schemas.openxmlformats.org/officeDocument/2006/relationships/hyperlink" Id="rId22" Target="/ka/resources/sop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19/" TargetMode="External" /><Relationship Type="http://schemas.openxmlformats.org/officeDocument/2006/relationships/hyperlink" Id="rId23" Target="/ka/standards/standard-19/#c19-5" TargetMode="External" /><Relationship Type="http://schemas.openxmlformats.org/officeDocument/2006/relationships/hyperlink" Id="rId43" Target="https://academy.gmj.ge/courses/asf-t-09-en/" TargetMode="External" /><Relationship Type="http://schemas.openxmlformats.org/officeDocument/2006/relationships/hyperlink" Id="rId46" Target="https://france-asf.fr/wp-content/uploads/2026/10/spc-sop-002-form-1.docx" TargetMode="External" /><Relationship Type="http://schemas.openxmlformats.org/officeDocument/2006/relationships/hyperlink" Id="rId45" Target="https://france-asf.fr/wp-content/uploads/2026/10/spc-sop-002-form-a4-1.pd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dc:language>ka</dc:language>
  <cp:keywords/>
  <dcterms:created xsi:type="dcterms:W3CDTF">2026-11-07T01:33:17Z</dcterms:created>
  <dcterms:modified xsi:type="dcterms:W3CDTF">2026-11-07T01:33:17Z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