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SRG-FRM-004: ქირურგიული ადგილის ინფექციის პაკეტის შესრულების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SRG-FRM-004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2.3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ყოველ პროცედურაზე ჩაწერს, შესრულდა თუ არა პაკეტის ყოველი ნაწილი.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შეავსეთ ყოველ პროცედურაზე.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ნებისმიერი გამოტოვებული პუნქტი და მიზეზი.</w:t>
      </w:r>
    </w:p>
    <w:p>
      <w:pPr>
        <w:numPr>
          <w:ilvl w:val="0"/>
          <w:numId w:val="1001"/>
        </w:numPr>
        <w:pStyle w:val="Compact"/>
      </w:pPr>
      <w:r>
        <w:t xml:space="preserve">თვის შესრულება დაითვალეთ ყოველთვიურ შემოწმებაზე.</w:t>
      </w:r>
    </w:p>
    <w:bookmarkEnd w:id="25"/>
    <w:bookmarkStart w:id="26" w:name="ველები"/>
    <w:p>
      <w:pPr>
        <w:pStyle w:val="Heading2"/>
      </w:pPr>
      <w:r>
        <w:t xml:space="preserve">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პროცედურის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ანტიბიოტიკი ფანჯარაში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კანი დამუშავებულია და მშრალია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თმის მოშორება (საჭიროების შემთხვევაში)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სტერილური ტექნიკის დარღვევები (რაოდენობა)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სამოსი დადებულია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გამოტოვებული პუნქტი და მიზეზი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 Global Guidelines for the Prevention of Surgical Site Infection-ზე (2018).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Hand Hygiene and Standard Precautions</w:t>
      </w:r>
      <w:r>
        <w:t xml:space="preserve"> </w:t>
      </w:r>
      <w:r>
        <w:t xml:space="preserve">(T-06)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Infection Prevention &amp; Control</w:t>
        </w:r>
      </w:hyperlink>
      <w:r>
        <w:t xml:space="preserve"> </w:t>
      </w:r>
      <w:r>
        <w:t xml:space="preserve">(MT-05)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standards/standard-2/#c2-3" TargetMode="External" /><Relationship Type="http://schemas.openxmlformats.org/officeDocument/2006/relationships/hyperlink" Id="rId29" Target="https://academy.gmj.ge/courses/asf-mt-05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standards/standard-2/#c2-3" TargetMode="External" /><Relationship Type="http://schemas.openxmlformats.org/officeDocument/2006/relationships/hyperlink" Id="rId29" Target="https://academy.gmj.ge/courses/asf-mt-05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SRG-FRM-004: ქირურგიული ადგილის ინფექციის პაკეტის შესრულების ჩანაწერი</dc:title>
  <dc:creator/>
  <cp:keywords/>
  <dcterms:created xsi:type="dcterms:W3CDTF">2026-11-07T01:50:03Z</dcterms:created>
  <dcterms:modified xsi:type="dcterms:W3CDTF">2026-11-07T01:50:03Z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