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SRG-SOP-001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WHO-ს ჩამონათვალი ყოველი პროცედურისთვის, სამივე პაუზაზე.</w:t>
      </w:r>
    </w:p>
    <w:p>
      <w:pPr>
        <w:numPr>
          <w:ilvl w:val="0"/>
          <w:numId w:val="1001"/>
        </w:numPr>
        <w:pStyle w:val="Compact"/>
      </w:pPr>
      <w:r>
        <w:t xml:space="preserve">ჩამონათვალს კითხულობს გუნდის წევრი და არა მეხსიერებით.</w:t>
      </w:r>
    </w:p>
    <w:p>
      <w:pPr>
        <w:numPr>
          <w:ilvl w:val="0"/>
          <w:numId w:val="1001"/>
        </w:numPr>
        <w:pStyle w:val="Compact"/>
      </w:pPr>
      <w:r>
        <w:t xml:space="preserve">არ არსებული ნივთი აჩერებს პროცედურას, სანამ არ მოგვარდება.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პაუზა ჩამონათვალის ჩანაწერში.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არ არსებული ნივთი (იდენტობა, ადგილი, ანტიბიოტიკი, რაოდენობები ან აღჭურვილობა) პროცედურის დაწყებამდე არ არის მოგვარებული.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ჩამონათვალი ყოველ ოპერაციულ ოთახში, ყოველთვის ერთნაირად შესრულდეს (2.1).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ქირურგიული უსაფრთხოების ჩამონათვალი მუშაობს მხოლოდ მაშინ, როცა გუნდი მას ყოველ პაუზაზე ერთად, ხმამაღლა ამბობს. ოპერაციის შემდეგ შენახული ჩამონათვალი ვერავის ვერ დაიცავს.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ოპერაციული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ხმამაღლა კითხულობს ჩამონათვალს და აღრიცხავს პასუხებს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ოპერაციული 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ქირურგი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ადასტურებს პროცედურასა და ადგილს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ქირურგი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მომზადება.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თანხმობის ფორმა, ადგილის მონიშვნა და გამოსახულება, სანამ პაციენტი ოპერაციულ ოთახში შევა.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მზადაა პაუზამდე.</w:t>
      </w:r>
    </w:p>
    <w:p>
      <w:pPr>
        <w:pStyle w:val="BodyText"/>
      </w:pPr>
      <w:r>
        <w:t xml:space="preserve">ნაბიჯი 2. წაიკითხეთ ხმამაღლა.</w:t>
      </w:r>
    </w:p>
    <w:p>
      <w:pPr>
        <w:numPr>
          <w:ilvl w:val="0"/>
          <w:numId w:val="1005"/>
        </w:numPr>
        <w:pStyle w:val="Compact"/>
      </w:pPr>
      <w:r>
        <w:t xml:space="preserve">წაიკითხეთ ყოველი პუნქტი ხმამაღლა და დაელოდეთ პასუხს.</w:t>
      </w:r>
    </w:p>
    <w:p>
      <w:pPr>
        <w:numPr>
          <w:ilvl w:val="0"/>
          <w:numId w:val="1005"/>
        </w:numPr>
        <w:pStyle w:val="Compact"/>
      </w:pPr>
      <w:r>
        <w:t xml:space="preserve">ჩაწერეთ პასუხი SRG-FRM-001-ზე.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ხმამაღლა, ყოველი პუნქტი.</w:t>
      </w:r>
    </w:p>
    <w:p>
      <w:pPr>
        <w:pStyle w:val="BodyText"/>
      </w:pPr>
      <w:r>
        <w:t xml:space="preserve">ნაბიჯი 3. გაჩერდით ხარვეზზე.</w:t>
      </w:r>
    </w:p>
    <w:p>
      <w:pPr>
        <w:numPr>
          <w:ilvl w:val="0"/>
          <w:numId w:val="1006"/>
        </w:numPr>
        <w:pStyle w:val="Compact"/>
      </w:pPr>
      <w:r>
        <w:t xml:space="preserve">თუ პუნქტი არ არის დაკმაყოფილებული, არ დაიწყოთ. მოაგვარეთ იგი და ხელახლა წაიკითხეთ პუნქტი.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ხარვეზი აჩერებს ოპერაციას.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სრულად შევსებული ჩამონათვალები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ოპერაციული 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SRG-FRM-001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ქირურგიული უსაფრთხოების ჩამონათვალის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ვარჯიშისა და წვრთნის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წვრთნა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ქირურგიული უსაფრთხოების ჩამონათვალზე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ოფთალმოლოგია და ერთდღიანი ქირურგიის უსაფრთხოება</w:t>
      </w:r>
      <w:r>
        <w:t xml:space="preserve"> </w:t>
      </w:r>
      <w:r>
        <w:t xml:space="preserve">(AMB-15)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მზრუნველობა და მკურნალობა: კლინიკური სტანდარტები აკრედიტაციისთვის</w:t>
        </w:r>
      </w:hyperlink>
      <w:r>
        <w:t xml:space="preserve"> </w:t>
      </w:r>
      <w:r>
        <w:t xml:space="preserve">(H-04)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hos-reg-004/" TargetMode="External" /><Relationship Type="http://schemas.openxmlformats.org/officeDocument/2006/relationships/hyperlink" Id="rId39" Target="/ka/documents/srg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3" Target="/ka/standards/standard-2/#c2-1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44" Target="https://academy.gmj.ge/courses/asf-h-04-ka/" TargetMode="External" /><Relationship Type="http://schemas.openxmlformats.org/officeDocument/2006/relationships/hyperlink" Id="rId47" Target="https://france-asf.fr/wp-content/uploads/2026/10/srg-sop-001-form-1.docx" TargetMode="External" /><Relationship Type="http://schemas.openxmlformats.org/officeDocument/2006/relationships/hyperlink" Id="rId46" Target="https://france-asf.fr/wp-content/uploads/2026/10/srg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hos-reg-004/" TargetMode="External" /><Relationship Type="http://schemas.openxmlformats.org/officeDocument/2006/relationships/hyperlink" Id="rId39" Target="/ka/documents/srg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3" Target="/ka/standards/standard-2/#c2-1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44" Target="https://academy.gmj.ge/courses/asf-h-04-ka/" TargetMode="External" /><Relationship Type="http://schemas.openxmlformats.org/officeDocument/2006/relationships/hyperlink" Id="rId47" Target="https://france-asf.fr/wp-content/uploads/2026/10/srg-sop-001-form-1.docx" TargetMode="External" /><Relationship Type="http://schemas.openxmlformats.org/officeDocument/2006/relationships/hyperlink" Id="rId46" Target="https://france-asf.fr/wp-content/uploads/2026/10/srg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2026-11-07T01:42:37Z</dcterms:created>
  <dcterms:modified xsi:type="dcterms:W3CDTF">2026-11-07T01:42:37Z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