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SSC-REG-001: ქირურგთა უფლებების რეგისტრი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ქირურგთა უფლებების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SSC-REG-001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60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SSC-REG-001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60.1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ფიქსირდება პროცედურები, რომელთა შესრულების უფლება აქვს თითოეულ ქირურგს, მინიჭების თარიღი და გადახედვის თარიღი.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ჩამოთვალეთ თითოეული ქირურგი და პროცედურები, რომელთა შესრულების უფლება აქვს.</w:t>
      </w:r>
    </w:p>
    <w:p>
      <w:pPr>
        <w:numPr>
          <w:ilvl w:val="0"/>
          <w:numId w:val="1001"/>
        </w:numPr>
        <w:pStyle w:val="Compact"/>
      </w:pPr>
      <w:r>
        <w:t>ჩაწერეთ მინიჭების თარიღი და გადახედვის თარიღი.</w:t>
      </w:r>
    </w:p>
    <w:p>
      <w:pPr>
        <w:numPr>
          <w:ilvl w:val="0"/>
          <w:numId w:val="1001"/>
        </w:numPr>
        <w:pStyle w:val="Compact"/>
      </w:pPr>
      <w:r>
        <w:t>ჩაწერეთ ნებისმიერი შეზღუდვა და მისი გამოყენების თარიღი.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ქირურგი და უფლებამინიჭებული პროცედურები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მინიჭებისა და გადახედვის თარიღები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შეზღუდვა გამოყენებულია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დამტკიცებულია კლინიკური დირექტორის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60/" TargetMode="External"/><Relationship Id="rId23" Type="http://schemas.openxmlformats.org/officeDocument/2006/relationships/hyperlink" Target="/standards/standard-60/#c60-1" TargetMode="External"/><Relationship Id="rId29" Type="http://schemas.openxmlformats.org/officeDocument/2006/relationships/hyperlink" Target="https://france-asf.fr/wp-content/uploads/2026/10/ssc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60/" TargetMode="External"/><Relationship Id="rId23" Type="http://schemas.openxmlformats.org/officeDocument/2006/relationships/hyperlink" Target="/standards/standard-60/#c60-1" TargetMode="External"/><Relationship Id="rId29" Type="http://schemas.openxmlformats.org/officeDocument/2006/relationships/hyperlink" Target="https://france-asf.fr/wp-content/uploads/2026/10/ssc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SSC-REG-001: Surgeon privileges register</dc:title>
  <dc:creator/>
  <cp:keywords/>
  <dcterms:created xsi:type="dcterms:W3CDTF">2026-10-28T21:32:50Z</dcterms:created>
  <dcterms:modified xsi:type="dcterms:W3CDTF">2026-10-28T21:32:50Z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