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38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საოპერაციო პროცედურები (SOP)</w:t>
        </w:r>
      </w:hyperlink>
    </w:p>
    <w:p>
      <w:pPr>
        <w:pStyle w:val="BodyText"/>
      </w:pPr>
      <w:r>
        <w:t xml:space="preserve">სტანდარტული საოპერაციო პროცედურა (SOP) · SUB-SOP-003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მხარს უჭერს:</w:t>
      </w:r>
      <w:r>
        <w:t xml:space="preserve"> </w:t>
      </w:r>
      <w:hyperlink r:id="rId23">
        <w:r>
          <w:rPr>
            <w:rStyle w:val="Hyperlink"/>
          </w:rPr>
          <w:t xml:space="preserve">38.5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გაწერა ან გადაყვანა წინასწარ იგეგმება (SUB-FRM-003).</w:t>
      </w:r>
    </w:p>
    <w:p>
      <w:pPr>
        <w:numPr>
          <w:ilvl w:val="0"/>
          <w:numId w:val="1001"/>
        </w:numPr>
        <w:pStyle w:val="Compact"/>
      </w:pPr>
      <w:r>
        <w:t xml:space="preserve">ყოველი პირი მიმართულია საზოგადოების მხარდაჭერაზე.</w:t>
      </w:r>
    </w:p>
    <w:p>
      <w:pPr>
        <w:numPr>
          <w:ilvl w:val="0"/>
          <w:numId w:val="1001"/>
        </w:numPr>
        <w:pStyle w:val="Compact"/>
      </w:pPr>
      <w:r>
        <w:t xml:space="preserve">რეციდივის გეგმა შეთანხმებულია პირთან და ჩაწერილია.</w:t>
      </w:r>
    </w:p>
    <w:p>
      <w:pPr>
        <w:numPr>
          <w:ilvl w:val="0"/>
          <w:numId w:val="1001"/>
        </w:numPr>
        <w:pStyle w:val="Compact"/>
      </w:pPr>
      <w:r>
        <w:t xml:space="preserve">გეგმა თანხმობით ეგზავნება მიმღებ მომსახურებას.</w:t>
      </w:r>
    </w:p>
    <w:p>
      <w:pPr>
        <w:numPr>
          <w:ilvl w:val="0"/>
          <w:numId w:val="1001"/>
        </w:numPr>
        <w:pStyle w:val="Compact"/>
      </w:pPr>
      <w:r>
        <w:t xml:space="preserve">შეჩერდით და დაუყოვნებლივ მოითხოვეთ დახმარება, თუ: პირი გაწერილია საზოგადოების მიმართვის და რეციდივის გეგმის გარეშე.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ადამიანები მკურნალობის დასრულების შემდეგ მხარდაჭერას უკავშირდებოდნენ და რეციდივისთვის მზად იყვნენ (38.5).</w:t>
      </w:r>
    </w:p>
    <w:bookmarkEnd w:id="24"/>
    <w:bookmarkStart w:id="25" w:name="მოქმედების-სფერო"/>
    <w:p>
      <w:pPr>
        <w:pStyle w:val="Heading2"/>
      </w:pPr>
      <w:r>
        <w:t xml:space="preserve">2. მოქმედების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სტაციონარის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ყველა პალატა, კლინიკა და განყოფილება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დრო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ყოველთვის,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რომელიც დაფარულია დოკუმენტით, ჩამოთვლილი მე-15 პუნქტში</w:t>
            </w:r>
          </w:p>
        </w:tc>
      </w:tr>
    </w:tbl>
    <w:bookmarkEnd w:id="25"/>
    <w:bookmarkStart w:id="26" w:name="ტერმინთა-განმარტებები"/>
    <w:p>
      <w:pPr>
        <w:pStyle w:val="Heading2"/>
      </w:pPr>
      <w:r>
        <w:t xml:space="preserve">3. ტერმინთა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ექიმი ან ექთანი, რომელიც ამ მომენტში პასუხისმგებელია ამ მიმართულებაზე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მკურნალობის დატოვება საზოგადოების მხარდაჭერასთან კავშირის გარეშე რეციდივის ხშირი მიზეზია. დაგეგმილი გაწერა მიმართვებით ინარჩუნებს ადამიანს კავშირში მომსახურების დასრულების შემდეგ.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დამოკიდებულების მომსახურების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ფლობს გაწერის სტანდარტს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მთავარი მკურნალი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გეგმავს გაწერას და თანხმდება რეციდივის გეგმაზე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დამოკიდებულების მომსახურების კლინიკური ხელმძღვანელი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ერთეული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მოწმდება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შეაჩერეთ და გამოიძახეთ დახმარება, თუ პაციენტი უშუალო რისკის ქვეშაა. არ გადადოთ გადაუდებელი მკურნალობა დოკუმენტაციის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დარწმუნდით, რომ დოკუმენტში დასახელებული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ნაბიჯი 1. დაგეგმეთ.</w:t>
      </w:r>
    </w:p>
    <w:p>
      <w:pPr>
        <w:numPr>
          <w:ilvl w:val="0"/>
          <w:numId w:val="1004"/>
        </w:numPr>
        <w:pStyle w:val="Compact"/>
      </w:pPr>
      <w:r>
        <w:t xml:space="preserve">დაიწყეთ გაწერის გეგმა ადრე და ჩაწერეთ თარიღი.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დაგეგმილია.</w:t>
      </w:r>
    </w:p>
    <w:p>
      <w:pPr>
        <w:pStyle w:val="BodyText"/>
      </w:pPr>
      <w:r>
        <w:t xml:space="preserve">ნაბიჯი 2. მიმართეთ.</w:t>
      </w:r>
    </w:p>
    <w:p>
      <w:pPr>
        <w:numPr>
          <w:ilvl w:val="0"/>
          <w:numId w:val="1005"/>
        </w:numPr>
        <w:pStyle w:val="Compact"/>
      </w:pPr>
      <w:r>
        <w:t xml:space="preserve">მიმართეთ პირი საზოგადოების მხარდაჭერაზე და ჩაწერეთ მიმართვა (PHC-SOP-003).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მიმართულია.</w:t>
      </w:r>
    </w:p>
    <w:p>
      <w:pPr>
        <w:pStyle w:val="BodyText"/>
      </w:pPr>
      <w:r>
        <w:t xml:space="preserve">ნაბიჯი 3. შეათანხმეთ რეციდივის გეგმა.</w:t>
      </w:r>
    </w:p>
    <w:p>
      <w:pPr>
        <w:numPr>
          <w:ilvl w:val="0"/>
          <w:numId w:val="1006"/>
        </w:numPr>
        <w:pStyle w:val="Compact"/>
      </w:pPr>
      <w:r>
        <w:t xml:space="preserve">შეათანხმეთ რეციდივის გეგმა პირთან და ჩაწერეთ იგი (SUB-FRM-003).</w:t>
      </w:r>
    </w:p>
    <w:p>
      <w:pPr>
        <w:pStyle w:val="FirstParagraph"/>
      </w:pPr>
      <w:r>
        <w:rPr>
          <w:bCs/>
          <w:b/>
        </w:rPr>
        <w:t xml:space="preserve">ძირითადი წერტილი:</w:t>
      </w:r>
      <w:r>
        <w:t xml:space="preserve"> </w:t>
      </w:r>
      <w:r>
        <w:t xml:space="preserve">შეთანხმებულია.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ნაბიჯებს. გამოიყენეთ სამორიგეო საკონტაქტო ინფორმაცია, რომელიც არის ამ მიმართულების კედელზე.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გადაეცემა მოვალეობის მქონე კლინიკურ ხელმძღვანელს, ხოლო იმავე დღეს —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საზომი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სამიზნე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გაწერები საზოგადოების მიმართვითა და რეციდივის გეგმით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ყოველთვიურად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დამოკიდებულების მომსახურების კლინიკური ხელმძღვანელი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გადაეცით კლინიკურ დირექტორს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ინახება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დასახელებული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მიმართულების ფაილი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ობიექტის ჩანაწერების პოლიტიკით დადგენილი პერიოდი, წლები</w:t>
            </w:r>
          </w:p>
        </w:tc>
      </w:tr>
    </w:tbl>
    <w:bookmarkEnd w:id="37"/>
    <w:bookmarkStart w:id="38" w:name="ტრენინგი"/>
    <w:p>
      <w:pPr>
        <w:pStyle w:val="Heading2"/>
      </w:pPr>
      <w:r>
        <w:t xml:space="preserve">15. ტრენინგი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ტრენინგდება დასაქმებისას და ყოველ წელს განახლდება, ჩაწერილი კომპეტენციის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SUB-FRM-003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გაწერისა და რეციდივის გეგმის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PHC-SOP-003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მიმართვის კრიტერიუმები და მიმართვების თვალყურის დევნება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პროცედურა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WHO-ს სახელმძღვანელოზე ოპიოიდური დამოკიდებულების ფსიქოსოციალურად დახმარებული ფარმაკოლოგიური მკურნალობის შესახებ (2009), WHO-ს სახელმძღვანელოზე შიდსისა და ზიანის შემცირების შესახებ ინექციური ნარკოტიკების მომხმარებლებისთვის, და ASF-ის ამბულატორიულ სტანდარტზე დამოკიდებულების მომსახურებისთვის.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პოლიტიკის ჩარჩო v1.2. ადაპტირებულია.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ექსპერტთა კომიტეტის დამტკიცება</w:t>
            </w: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ნარკოლოგია და დამოკიდებულების მკურნალობა</w:t>
      </w:r>
      <w:r>
        <w:t xml:space="preserve"> </w:t>
      </w:r>
      <w:r>
        <w:t xml:space="preserve">(AMB-21)</w:t>
      </w:r>
    </w:p>
    <w:bookmarkEnd w:id="44"/>
    <w:bookmarkStart w:id="47" w:name="ციტირებული-წყაროები"/>
    <w:p>
      <w:pPr>
        <w:pStyle w:val="Heading2"/>
      </w:pPr>
      <w:r>
        <w:t xml:space="preserve">ციტირებული 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პოლიტიკის ჩარჩო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ექსპერტთა კომიტეტის კონსენსუსი სტანდარტ 1-ზე.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45">
        <w:r>
          <w:rPr>
            <w:rStyle w:val="Hyperlink"/>
          </w:rPr>
          <w:t xml:space="preserve">ჩამოტვირთეთ დოკუმენტი PDF ფორმატში</w:t>
        </w:r>
      </w:hyperlink>
    </w:p>
    <w:p>
      <w:pPr>
        <w:pStyle w:val="BodyText"/>
      </w:pPr>
      <w:hyperlink r:id="rId46">
        <w:r>
          <w:rPr>
            <w:rStyle w:val="Hyperlink"/>
          </w:rPr>
          <w:t xml:space="preserve">ჩამოტვირთეთ დოკუმენტი რედაქტირებადი Word ფაილის სახით</w:t>
        </w:r>
      </w:hyperlink>
    </w:p>
    <w:bookmarkEnd w:id="4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ka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40" Target="/ka/documents/phc-sop-003/" TargetMode="External" /><Relationship Type="http://schemas.openxmlformats.org/officeDocument/2006/relationships/hyperlink" Id="rId39" Target="/ka/documents/sub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8/" TargetMode="External" /><Relationship Type="http://schemas.openxmlformats.org/officeDocument/2006/relationships/hyperlink" Id="rId23" Target="/ka/standards/standard-38/#c38-5" TargetMode="External" /><Relationship Type="http://schemas.openxmlformats.org/officeDocument/2006/relationships/hyperlink" Id="rId46" Target="https://france-asf.fr/wp-content/uploads/2026/10/sub-sop-003-form-1.docx" TargetMode="External" /><Relationship Type="http://schemas.openxmlformats.org/officeDocument/2006/relationships/hyperlink" Id="rId45" Target="https://france-asf.fr/wp-content/uploads/2026/10/sub-sop-003-form-a4-1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/ka/documents/phc-sop-003/" TargetMode="External" /><Relationship Type="http://schemas.openxmlformats.org/officeDocument/2006/relationships/hyperlink" Id="rId39" Target="/ka/documents/sub-frm-00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8/" TargetMode="External" /><Relationship Type="http://schemas.openxmlformats.org/officeDocument/2006/relationships/hyperlink" Id="rId23" Target="/ka/standards/standard-38/#c38-5" TargetMode="External" /><Relationship Type="http://schemas.openxmlformats.org/officeDocument/2006/relationships/hyperlink" Id="rId46" Target="https://france-asf.fr/wp-content/uploads/2026/10/sub-sop-003-form-1.docx" TargetMode="External" /><Relationship Type="http://schemas.openxmlformats.org/officeDocument/2006/relationships/hyperlink" Id="rId45" Target="https://france-asf.fr/wp-content/uploads/2026/10/sub-sop-003-form-a4-1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ka</dc:language>
  <cp:keywords/>
  <dcterms:created xsi:type="dcterms:W3CDTF">2026-11-07T01:25:30Z</dcterms:created>
  <dcterms:modified xsi:type="dcterms:W3CDTF">2026-11-07T01:25:30Z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