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TRM-POL-001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41.1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პრაქტიკოსი რეგისტრირებულია მარეგულირებელთან იმ პრაქტიკისთვის, რომელსაც სთავაზობს (TRM-REG-001).</w:t>
      </w:r>
    </w:p>
    <w:p>
      <w:pPr>
        <w:numPr>
          <w:ilvl w:val="0"/>
          <w:numId w:val="1001"/>
        </w:numPr>
        <w:pStyle w:val="Compact"/>
      </w:pPr>
      <w:r>
        <w:t xml:space="preserve">რეგისტრაცია მოწმდება პრაქტიკოსის დაწყებამდე და დადგენილი ინტერვალით.</w:t>
      </w:r>
    </w:p>
    <w:p>
      <w:pPr>
        <w:numPr>
          <w:ilvl w:val="0"/>
          <w:numId w:val="1001"/>
        </w:numPr>
        <w:pStyle w:val="Compact"/>
      </w:pPr>
      <w:r>
        <w:t xml:space="preserve">მკურნალობა შემოიფარგლება იმ ფარგლებით, რომელსაც რეგისტრაცია იძლევა.</w:t>
      </w:r>
    </w:p>
    <w:p>
      <w:pPr>
        <w:numPr>
          <w:ilvl w:val="0"/>
          <w:numId w:val="1001"/>
        </w:numPr>
        <w:pStyle w:val="Compact"/>
      </w:pPr>
      <w:r>
        <w:t xml:space="preserve">პრაქტიკოსი, რომლის რეგისტრაცია ვადაგასულია, მკურნალობას წყვეტს, სანამ არ განახლდება.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პრაქტიკოსი მკურნალობს პაციენტებს რეგისტრაციის გარეშე ან თავისი რეგისტრირებული ფარგლების მიღმა.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მკურნალობას მხოლოდ რეგისტრირებული და კვალიფიცირებული პრაქტიკოსები უწევდნენ, და მხოლოდ მათ ფარგლებში (41.1).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არაკვალიფიცირებულმა ან არარეგისტრირებულმა პრაქტიკოსმა შეიძლება ზიანი მიაყენოს პაციენტებს. ყოველი პრაქტიკოსის კვალიფიკაციისა და რეგისტრაციის შემოწმება იცავს საზოგადოებას.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რეესტრსა და ფარგლების წესებს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ყოველი პრაქტიკოსი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ინარჩუნებს რეგისტრაციას მიმდინარეს და მუშაობს ფარგლებში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შეამოწმეთ.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ყოველი პრაქტიკოსი მარეგულირებლის რეესტრთან დაწყებამდე (TRM-REG-001).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2. შეზღუდეთ.</w:t>
      </w:r>
    </w:p>
    <w:p>
      <w:pPr>
        <w:numPr>
          <w:ilvl w:val="0"/>
          <w:numId w:val="1005"/>
        </w:numPr>
        <w:pStyle w:val="Compact"/>
      </w:pPr>
      <w:r>
        <w:t xml:space="preserve">დააყენეთ თითოეული პრაქტიკოსის პრაქტიკის ფარგლები რეგისტრაციიდან.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შეზღუდულია.</w:t>
      </w:r>
    </w:p>
    <w:p>
      <w:pPr>
        <w:pStyle w:val="BodyText"/>
      </w:pPr>
      <w:r>
        <w:t xml:space="preserve">ნაბიჯი 3. განაახლეთ.</w:t>
      </w:r>
    </w:p>
    <w:p>
      <w:pPr>
        <w:numPr>
          <w:ilvl w:val="0"/>
          <w:numId w:val="1006"/>
        </w:numPr>
        <w:pStyle w:val="Compact"/>
      </w:pPr>
      <w:r>
        <w:t xml:space="preserve">შეამოწმეთ რეგისტრაცია დადგენილი ინტერვალით და შეაჩერეთ ვადაგასული პრაქტიკოსი დაუყოვნებლივ.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განახლებულია.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პრაქტიკოსები მიმდინარე რეგისტრაციით ფარგლებში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TRM-REG-001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პრაქტიკოსთა რეგისტრაციის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STF-FRM-001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თანამშრომელთა შემოწმების რეგისტრი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ტრადიციული მედიცინის სტრატეგიაზე 2014–2023, WHO-ს სახელმძღვანელოზე არასტანდარტული და გაყალბებული სამედიცინო პროდუქტების შესახებ, და ASF-ის საავადმყოფოს სტანდარტზე ინფორმირებული თანხმობისა და ინციდენტების ანგარიშგების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კრედიტაცია, კომპეტენცია და ტრენინგის მატრიცა</w:t>
        </w:r>
      </w:hyperlink>
      <w:r>
        <w:t xml:space="preserve"> </w:t>
      </w:r>
      <w:r>
        <w:t xml:space="preserve">(T-14)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stf-frm-001/" TargetMode="External" /><Relationship Type="http://schemas.openxmlformats.org/officeDocument/2006/relationships/hyperlink" Id="rId39" Target="/ka/documents/trm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1/" TargetMode="External" /><Relationship Type="http://schemas.openxmlformats.org/officeDocument/2006/relationships/hyperlink" Id="rId23" Target="/ka/standards/standard-41/#c41-1" TargetMode="External" /><Relationship Type="http://schemas.openxmlformats.org/officeDocument/2006/relationships/hyperlink" Id="rId44" Target="https://academy.gmj.ge/courses/asf-t-14-en/" TargetMode="External" /><Relationship Type="http://schemas.openxmlformats.org/officeDocument/2006/relationships/hyperlink" Id="rId47" Target="https://france-asf.fr/wp-content/uploads/2026/10/trm-pol-001-form-1.docx" TargetMode="External" /><Relationship Type="http://schemas.openxmlformats.org/officeDocument/2006/relationships/hyperlink" Id="rId46" Target="https://france-asf.fr/wp-content/uploads/2026/10/trm-pol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stf-frm-001/" TargetMode="External" /><Relationship Type="http://schemas.openxmlformats.org/officeDocument/2006/relationships/hyperlink" Id="rId39" Target="/ka/documents/trm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1/" TargetMode="External" /><Relationship Type="http://schemas.openxmlformats.org/officeDocument/2006/relationships/hyperlink" Id="rId23" Target="/ka/standards/standard-41/#c41-1" TargetMode="External" /><Relationship Type="http://schemas.openxmlformats.org/officeDocument/2006/relationships/hyperlink" Id="rId44" Target="https://academy.gmj.ge/courses/asf-t-14-en/" TargetMode="External" /><Relationship Type="http://schemas.openxmlformats.org/officeDocument/2006/relationships/hyperlink" Id="rId47" Target="https://france-asf.fr/wp-content/uploads/2026/10/trm-pol-001-form-1.docx" TargetMode="External" /><Relationship Type="http://schemas.openxmlformats.org/officeDocument/2006/relationships/hyperlink" Id="rId46" Target="https://france-asf.fr/wp-content/uploads/2026/10/trm-pol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2026-11-07T01:24:45Z</dcterms:created>
  <dcterms:modified xsi:type="dcterms:W3CDTF">2026-11-07T01:24:45Z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