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WAT-SOP-001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ჩაატარეთ წყლის ტესტირება კომიტეტის მიერ დადგენილი გრაფიკით, გრაფიკში ჩამოთვლილ წერტილებში.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შედეგი WAT-FRM-001-ზე თარიღითა და ტესტის ჩამტარებლით.</w:t>
      </w:r>
    </w:p>
    <w:p>
      <w:pPr>
        <w:numPr>
          <w:ilvl w:val="0"/>
          <w:numId w:val="1001"/>
        </w:numPr>
        <w:pStyle w:val="Compact"/>
      </w:pPr>
      <w:r>
        <w:t xml:space="preserve">თუ შედეგი ზღვარს სცდება, იმოქმედეთ დაუყოვნებლივ: იზოლირეთ გამოსასვლელი, აცნობეთ ინფექციის პრევენციის ხელმძღვანელს და ხელახლა ჩაატარეთ ტესტი.</w:t>
      </w:r>
    </w:p>
    <w:p>
      <w:pPr>
        <w:numPr>
          <w:ilvl w:val="0"/>
          <w:numId w:val="1001"/>
        </w:numPr>
        <w:pStyle w:val="Compact"/>
      </w:pPr>
      <w:r>
        <w:t xml:space="preserve">ბოლო 3 თვის ჩანაწერები შეინახეთ აუდიტისთვის ხელმისაწვდომად.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შედეგი კლინიკური გამოსასვლელისთვის ზღვარს სცდება, ან მომარაგება შეწყდა პაციენტთა მოვლის ზონებში.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სასმელად, სარეცხად, დიალიზისთვის, სტერილიზაციისთვის და კლინიკური მოვლისთვის გამოყენებული წყალი იყოს უსაფრთხო, შემოწმდებოდეს გრაფიკით და შეწყვეტები იმართებოდეს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ობიექტები, ინფექციის პრევენცია, ლაბორატორია და კლინიკური პერსონალი, რომელიც წყალს იყენებს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ობიექტზე არსებული წყლის ყველა გამოსასვლელი და სატანკო რეზერვუარი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ტესტის გრაფიკზე, შეკეთების ან შეწყვეტის შემდეგ და ნებისმიერი არანორმალური შედეგის შემდეგ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დიალიზის წყალი, რომელსაც საკუთარი სტანდარტი აქვს (SOP-105 და დიალიზის მომსახურება)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გამოსასვლელი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ნებისმიერი ონკანი, შხაპი ან გამცემი წერტილი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წყლის ტესტი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მიკრობიოლოგიური და ქიმიური ხარისხის ტესტი გრაფიკის მიხედვით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ზღვარი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მნიშვნელობა, რომელიც დადგენილია ეროვნული სტანდარტის ან კომიტეტის მიერ (EC), რომლის ზემოთაც ქმედებაა საჭირო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მუნიციპალური მომარაგება შენობის შიგნით ავტომატურად უსაფრთხო არ არის. მილებმა, რეზერვუარებმა და მდგარმა გამოსასვლელებმა შეიძლება დაბინძურება შემოიტანონ, მათ შორის ლეგიონელა და სხვა ორგანიზმები. კრიტერიუმი 2B.3 მოითხოვს გრაფიკით ტესტირებას და შეწყვეტის გეგმას.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გრაფიკს; ანაწყობს აღებას და შეკეთებებს; ინარჩუნებს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ობიექტებისა და წყლის სისტემების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ინფექციის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იძლევა რჩევას შედეგებზე; ობიექტების მენეჯერთან ერთად გადაწყვეტს გამოსასვლელის იზოლაციას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ინფექციის პრევენციის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ლაბორატორია (ან აკრედიტებული გარე ლაბორატორია)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ატესტებს ნიმუშებს და აცნობებს შედეგებს შეთანხმებულ დროში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აკრედიტებული ტესტირება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ნიმუშის აღების ნაკრები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სტერილური ბოთლები და ეტიკეტები, მიწოდებული ტესტირების ლაბორატორიის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წყლის ტესტის გრაფიკი (WAT-PLN-001)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ხელმისაწვდომია ობიექტებისთვის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წყლის ტესტის ჩანაწერი (WAT-FRM-001)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თითოეული შედეგისთვის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ნიმუშის აღებისას ატარეთ ხელთათმანი. ხელები დაიბანეთ წინ და უკან.</w:t>
      </w:r>
    </w:p>
    <w:p>
      <w:pPr>
        <w:numPr>
          <w:ilvl w:val="0"/>
          <w:numId w:val="1002"/>
        </w:numPr>
        <w:pStyle w:val="Compact"/>
      </w:pPr>
      <w:r>
        <w:t xml:space="preserve">არ გამოიყენოთ ონკანი, რომელიც იზოლირებულია ან მონიშნულია როგორც არაუსაფრთხო.</w:t>
      </w:r>
    </w:p>
    <w:p>
      <w:pPr>
        <w:numPr>
          <w:ilvl w:val="0"/>
          <w:numId w:val="1002"/>
        </w:numPr>
        <w:pStyle w:val="Compact"/>
      </w:pPr>
      <w:r>
        <w:t xml:space="preserve">დეზინფექციის და გასუფთავების საშუალებები შეინახეთ ნიმუშის აღების წერტილებისგან მოშორებით.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 დღის გრაფიკი.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რომ ნიმუშის ბოთლები სტერილურია და ეტიკეტირებულია.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აიღეთ ნიმუში გრაფიკით.</w:t>
      </w:r>
    </w:p>
    <w:p>
      <w:pPr>
        <w:numPr>
          <w:ilvl w:val="0"/>
          <w:numId w:val="1004"/>
        </w:numPr>
        <w:pStyle w:val="Compact"/>
      </w:pPr>
      <w:r>
        <w:t xml:space="preserve">აიღეთ ნიმუში გრაფიკში მითითებული წერტილებიდან, ლაბორატორიის მეთოდით.</w:t>
      </w:r>
    </w:p>
    <w:p>
      <w:pPr>
        <w:numPr>
          <w:ilvl w:val="0"/>
          <w:numId w:val="1004"/>
        </w:numPr>
        <w:pStyle w:val="Compact"/>
      </w:pPr>
      <w:r>
        <w:t xml:space="preserve">აღნიშნეთ ეტიკეტზე თარიღი, დრო, წერტილი და ნიმუშის ამღები.</w:t>
      </w:r>
    </w:p>
    <w:p>
      <w:pPr>
        <w:numPr>
          <w:ilvl w:val="0"/>
          <w:numId w:val="1004"/>
        </w:numPr>
        <w:pStyle w:val="Compact"/>
      </w:pPr>
      <w:r>
        <w:t xml:space="preserve">გაგზავნეთ ლაბორატორიაში ლაბორატორიის მიერ მოთხოვნილ დროში.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არასწორი წერტილიდან ან ონკანის გამორეცხვის შემდეგ აღებული ნიმუში ცრუ შედეგს იძლევა.</w:t>
      </w:r>
    </w:p>
    <w:p>
      <w:pPr>
        <w:pStyle w:val="BodyText"/>
      </w:pPr>
      <w:r>
        <w:t xml:space="preserve">ნაბიჯი 2. ჩაწერეთ შედეგი.</w:t>
      </w:r>
    </w:p>
    <w:p>
      <w:pPr>
        <w:numPr>
          <w:ilvl w:val="0"/>
          <w:numId w:val="1005"/>
        </w:numPr>
        <w:pStyle w:val="Compact"/>
      </w:pPr>
      <w:r>
        <w:t xml:space="preserve">შეიტანეთ ყოველი შედეგი WAT-FRM-001-ზე მიღებისას, ზღვარითა და სტატუსით (ზღვარში ან არა).</w:t>
      </w:r>
    </w:p>
    <w:p>
      <w:pPr>
        <w:numPr>
          <w:ilvl w:val="0"/>
          <w:numId w:val="1005"/>
        </w:numPr>
        <w:pStyle w:val="Compact"/>
      </w:pPr>
      <w:r>
        <w:t xml:space="preserve">შეინახეთ ლაბორატორიის ანგარიში.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ჩანაწერი უნდა შეესაბამებოდეს ლაბორატორიის ანგარიშს.</w:t>
      </w:r>
    </w:p>
    <w:p>
      <w:pPr>
        <w:pStyle w:val="BodyText"/>
      </w:pPr>
      <w:r>
        <w:t xml:space="preserve">ნაბიჯი 3. თუ შედეგი ზღვარს სცდება.</w:t>
      </w:r>
    </w:p>
    <w:p>
      <w:pPr>
        <w:numPr>
          <w:ilvl w:val="0"/>
          <w:numId w:val="1006"/>
        </w:numPr>
        <w:pStyle w:val="Compact"/>
      </w:pPr>
      <w:r>
        <w:t xml:space="preserve">იმავე დღეს აცნობეთ ინფექციის პრევენციის ხელმძღვანელსა და ობიექტების მენეჯერს.</w:t>
      </w:r>
    </w:p>
    <w:p>
      <w:pPr>
        <w:numPr>
          <w:ilvl w:val="0"/>
          <w:numId w:val="1006"/>
        </w:numPr>
        <w:pStyle w:val="Compact"/>
      </w:pPr>
      <w:r>
        <w:t xml:space="preserve">იზოლირეთ გამოსასვლელი და მონიშნეთ „არ გამოიყენოთ სასმელად ან კლინიკური მიზნით“.</w:t>
      </w:r>
    </w:p>
    <w:p>
      <w:pPr>
        <w:numPr>
          <w:ilvl w:val="0"/>
          <w:numId w:val="1006"/>
        </w:numPr>
        <w:pStyle w:val="Compact"/>
      </w:pPr>
      <w:r>
        <w:t xml:space="preserve">გამორეცხეთ და დეზინფექცია გაუკეთეთ გამოსასვლელს გეგმის მიხედვით, შემდეგ ხელახლა ჩაატარეთ ტესტი.</w:t>
      </w:r>
    </w:p>
    <w:p>
      <w:pPr>
        <w:numPr>
          <w:ilvl w:val="0"/>
          <w:numId w:val="1006"/>
        </w:numPr>
        <w:pStyle w:val="Compact"/>
      </w:pPr>
      <w:r>
        <w:t xml:space="preserve">ჩაწერეთ ყოველი ნაბიჯი და დრო.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იზოლირებული გამოსასვლელი უფრო უსაფრთხოა, ვიდრე საეჭვო, რომელიც კვლავ გამოიყენება.</w:t>
      </w:r>
    </w:p>
    <w:p>
      <w:pPr>
        <w:pStyle w:val="BodyText"/>
      </w:pPr>
      <w:r>
        <w:t xml:space="preserve">ნაბიჯი 4. რეაგირება შეწყვეტებზე.</w:t>
      </w:r>
    </w:p>
    <w:p>
      <w:pPr>
        <w:numPr>
          <w:ilvl w:val="0"/>
          <w:numId w:val="1007"/>
        </w:numPr>
        <w:pStyle w:val="Compact"/>
      </w:pPr>
      <w:r>
        <w:t xml:space="preserve">მიჰყევით სარეზერვო გეგმას (WAT-PLN-001): აცნობეთ კლინიკურ ჯგუფებს, გამოიყენეთ შენახული წყლის მომარაგება და შეზღუდეთ გამოყენება აუცილებელი მიზნებით.</w:t>
      </w:r>
    </w:p>
    <w:p>
      <w:pPr>
        <w:numPr>
          <w:ilvl w:val="0"/>
          <w:numId w:val="1007"/>
        </w:numPr>
        <w:pStyle w:val="Compact"/>
      </w:pPr>
      <w:r>
        <w:t xml:space="preserve">ჩაწერეთ შეწყვეტის დაწყება და დასრულება და ქმედებები.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გეგმა არის ის, რაც პაციენტებს უსაფრთხოდ ამყოფებს მომარაგების გათიშვისას.</w:t>
      </w:r>
    </w:p>
    <w:p>
      <w:pPr>
        <w:pStyle w:val="BodyText"/>
      </w:pPr>
      <w:r>
        <w:t xml:space="preserve">ნაბიჯი 5. გადახედეთ შედეგებს.</w:t>
      </w:r>
    </w:p>
    <w:p>
      <w:pPr>
        <w:numPr>
          <w:ilvl w:val="0"/>
          <w:numId w:val="1008"/>
        </w:numPr>
        <w:pStyle w:val="Compact"/>
      </w:pPr>
      <w:r>
        <w:t xml:space="preserve">ყოველ კვარტალში განიხილეთ ყველა შედეგი ინფექციის პრევენციის ხელმძღვანელთან ერთად.</w:t>
      </w:r>
    </w:p>
    <w:p>
      <w:pPr>
        <w:numPr>
          <w:ilvl w:val="0"/>
          <w:numId w:val="1008"/>
        </w:numPr>
        <w:pStyle w:val="Compact"/>
      </w:pPr>
      <w:r>
        <w:t xml:space="preserve">ეძებეთ ტენდენციები და განმეორებადი წარუმატებლობები იმავე წერტილში.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განმეორებადი წარუმატებლობა ერთ წერტილში ნიშნავს, რომ მილსადენი ან გამოსასვლელი საჭიროებს შეკეთებას და არა მხოლოდ ხელახალ ტესტირებას.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შედეგი პაციენტთა მოვლის გამოსასვლელისთვის ზღვარს სცდება, გამოსასვლელი გამოიყენებას არ ექვემდებარება, სანამ ზღვარში ხელახლა არ დადასტურდება.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ნებისმიერი შეკეთების ან ახალი სანტექნიკის შემდეგ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ტესტირება გამოყენებამდე, შეკეთების შემდგომი ტესტით (EC)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ზღვარს გადაცდენილი შედეგები და შეწყვეტები იმავე დღეს მიდის ინფექციის პრევენციის ხელმძღვანელსა და მთავარ აღმასრულებელთან.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ტესტები ჩატარებულია გრაფიკით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ზღვარს გადაცდენილ შედეგებზე იმავე დღეს რეაგირება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ინფექციის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შეწყვეტები გეგმის დაცვით და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შემთხვევა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გეგმის განხილვა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WAT-FRM-001 წყლის ტესტის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ობიექტზე სულ მცირე 3 თვე, შემდეგ არქივში ობიექტის ჩანაწერების პოლიტიკით დადგენილი წლების განმავლობაში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ლაბორატორიის ანგარიშები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1"/>
        </w:numPr>
        <w:pStyle w:val="Compact"/>
      </w:pPr>
      <w:r>
        <w:t xml:space="preserve">ობიექტების პერსონალი გადამზადებულია ნიმუშის აღებასა და შედეგებზე რეაგირებაში (EC).</w:t>
      </w:r>
    </w:p>
    <w:p>
      <w:pPr>
        <w:numPr>
          <w:ilvl w:val="0"/>
          <w:numId w:val="1011"/>
        </w:numPr>
        <w:pStyle w:val="Compact"/>
      </w:pPr>
      <w:r>
        <w:t xml:space="preserve">კლინიკური პერსონალი ინფორმირებულია შეწყვეტის გეგმის შესახებ.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WAT-PLN-001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წყლის შეწყვეტის სარეზერვო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ნაბიჯში 4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WAT-FRM-001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წყლის ტესტის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ნაბიჯში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SOP-037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ინფექციის პრევენციისა და კონტროლის პროცედურა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ხელების დაბანა უსაფრთხო წყლით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დიალიზის წყლის ტესტირების სტანდარტი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ცალკე სტანდარტი დიალიზისთვის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ტესტის პარამეტრები, სიხშირე და ზღვრები უნდა დადგინდეს ეროვნულ სასმელი წყლისა და ჯანდაცვის წყლის სტანდარტებთან შედარებით დამტკიცებამდე.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4">
        <w:r>
          <w:rPr>
            <w:rStyle w:val="Hyperlink"/>
          </w:rPr>
          <w:t xml:space="preserve">წყლის წყაროს ტესტირება და დოკუმენტაცია</w:t>
        </w:r>
      </w:hyperlink>
      <w:r>
        <w:t xml:space="preserve"> </w:t>
      </w:r>
      <w:r>
        <w:t xml:space="preserve">(WATER-01)</w:t>
      </w:r>
    </w:p>
    <w:p>
      <w:pPr>
        <w:numPr>
          <w:ilvl w:val="0"/>
          <w:numId w:val="1012"/>
        </w:numPr>
        <w:pStyle w:val="Compact"/>
      </w:pPr>
      <w:r>
        <w:t xml:space="preserve">ლეგიონელას პრევენცია და ცხელი წყლის სისტემები</w:t>
      </w:r>
      <w:r>
        <w:t xml:space="preserve"> </w:t>
      </w:r>
      <w:r>
        <w:t xml:space="preserve">(WATER-03)</w:t>
      </w:r>
    </w:p>
    <w:bookmarkEnd w:id="45"/>
    <w:bookmarkStart w:id="49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14"/>
        </w:numPr>
        <w:pStyle w:val="Compact"/>
      </w:pPr>
      <w:hyperlink r:id="rId47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p>
      <w:pPr>
        <w:pStyle w:val="FirstParagraph"/>
      </w:pPr>
      <w:hyperlink r:id="rId48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wat-frm-001/" TargetMode="External" /><Relationship Type="http://schemas.openxmlformats.org/officeDocument/2006/relationships/hyperlink" Id="rId39" Target="/ka/documents/wat-pln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3" TargetMode="External" /><Relationship Type="http://schemas.openxmlformats.org/officeDocument/2006/relationships/hyperlink" Id="rId44" Target="https://academy.gmj.ge/courses/asf-water-01-en/" TargetMode="External" /><Relationship Type="http://schemas.openxmlformats.org/officeDocument/2006/relationships/hyperlink" Id="rId47" Target="https://france-asf.fr/ka/standards/standard-2a/" TargetMode="External" /><Relationship Type="http://schemas.openxmlformats.org/officeDocument/2006/relationships/hyperlink" Id="rId48" Target="https://france-asf.fr/wp-content/uploads/2026/10/wat-sop-001-form-1.docx" TargetMode="External" /><Relationship Type="http://schemas.openxmlformats.org/officeDocument/2006/relationships/hyperlink" Id="rId46" Target="https://france-asf.fr/wp-content/uploads/2026/10/wat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wat-frm-001/" TargetMode="External" /><Relationship Type="http://schemas.openxmlformats.org/officeDocument/2006/relationships/hyperlink" Id="rId39" Target="/ka/documents/wat-pln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3" TargetMode="External" /><Relationship Type="http://schemas.openxmlformats.org/officeDocument/2006/relationships/hyperlink" Id="rId44" Target="https://academy.gmj.ge/courses/asf-water-01-en/" TargetMode="External" /><Relationship Type="http://schemas.openxmlformats.org/officeDocument/2006/relationships/hyperlink" Id="rId47" Target="https://france-asf.fr/ka/standards/standard-2a/" TargetMode="External" /><Relationship Type="http://schemas.openxmlformats.org/officeDocument/2006/relationships/hyperlink" Id="rId48" Target="https://france-asf.fr/wp-content/uploads/2026/10/wat-sop-001-form-1.docx" TargetMode="External" /><Relationship Type="http://schemas.openxmlformats.org/officeDocument/2006/relationships/hyperlink" Id="rId46" Target="https://france-asf.fr/wp-content/uploads/2026/10/wat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2026-11-07T01:49:39Z</dcterms:created>
  <dcterms:modified xsi:type="dcterms:W3CDTF">2026-11-07T01:49:39Z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