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WRD-SOP-002: პალატაში მედიკამენტების მიცემის შემოწმებები</w:t>
      </w:r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პალატაში მედიკამენტების მიცემის შემოწმებები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WRD-SOP-002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58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>სტანდარტული ოპერაციული პროცედურა · WRD-SOP-002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58.2</w:t>
        </w:r>
      </w:hyperlink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მედიკამენტები ისტორიასთან შედარებით მოწმდება ყოველი დოზის წინ, ხოლო მაღალი რისკის მედიკამენტზე — მეორე შემოწმებით (HOS-SOP-006).</w:t>
      </w:r>
    </w:p>
    <w:p>
      <w:pPr>
        <w:numPr>
          <w:ilvl w:val="0"/>
          <w:numId w:val="1001"/>
        </w:numPr>
        <w:pStyle w:val="Compact"/>
      </w:pPr>
      <w:r>
        <w:t>ყოველი გამოტოვებული ან უარყოფილი დოზა ჩაიწერება მიზეზით (WRD-REG-001).</w:t>
      </w:r>
    </w:p>
    <w:p>
      <w:pPr>
        <w:numPr>
          <w:ilvl w:val="0"/>
          <w:numId w:val="1001"/>
        </w:numPr>
        <w:pStyle w:val="Compact"/>
      </w:pPr>
      <w:r>
        <w:t>მედიკამენტები შეთანხმდება მიღებისას, გადაყვანისას და გაწერისას (HOS-SOP-007).</w:t>
      </w:r>
    </w:p>
    <w:p>
      <w:pPr>
        <w:numPr>
          <w:ilvl w:val="0"/>
          <w:numId w:val="1001"/>
        </w:numPr>
        <w:pStyle w:val="Compact"/>
      </w:pPr>
      <w:r>
        <w:t>შეაჩერეთ და დაუყოვნებლივ მოიძიეთ დახმარება, თუ: მაღალი რისკის მედიკამენტი გაიცა მეორე შემოწმების გარეშე, ან დოზა გამოტოვებულია ჩაწერილი მიზეზის გარეშე.</w:t>
      </w:r>
    </w:p>
    <w:bookmarkStart w:id="24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იმის უზრუნველსაყოფად, რომ მედიკამენტები მიაღწევს სწორ პაციენტს სწორი დოზით და ნებისმიერი გამოტოვება ახსნილია (58.2).</w:t>
      </w:r>
    </w:p>
    <w:bookmarkEnd w:id="24"/>
    <w:bookmarkStart w:id="25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საქმიანობა, რომელსაც მოიცავს სხვა დოკუმენტი, ჩამოთვლილი მე-15 განყოფილებაში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ამ დროს უძღვება უბანს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იმის უზრუნველსაყოფად, რომ მედიკამენტები მიაღწევს სწორ პაციენტს სწორი დოზით და ნებისმიერი გამოტოვება ახსნილია (58.2).</w:t>
      </w:r>
    </w:p>
    <w:bookmarkEnd w:id="27"/>
    <w:bookmarkStart w:id="28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განყოფილების მედდა</w:t>
            </w:r>
          </w:p>
        </w:tc>
        <w:tc>
          <w:tcPr/>
          <w:p>
            <w:pPr>
              <w:pStyle w:val="Compact"/>
              <w:jc w:val="left"/>
            </w:pPr>
            <w:r>
              <w:t>ამოწმებს ისტორიას და ჩაწერს ყოველ დოზას ან გამოტოვებას</w:t>
            </w:r>
          </w:p>
        </w:tc>
        <w:tc>
          <w:tcPr/>
          <w:p>
            <w:pPr>
              <w:pStyle w:val="Compact"/>
              <w:jc w:val="left"/>
            </w:pPr>
            <w:r>
              <w:t>პალატის მთავარი მედდა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პალატის ექიმი</w:t>
            </w:r>
          </w:p>
        </w:tc>
        <w:tc>
          <w:tcPr/>
          <w:p>
            <w:pPr>
              <w:pStyle w:val="Compact"/>
              <w:jc w:val="left"/>
            </w:pPr>
            <w:r>
              <w:t>ათანხმებს მედიკამენტებს მიღებისას, გადაყვანისას და გაწერისას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შემოწმებულია გამოყენებამდე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შემოწმება.</w:t>
      </w:r>
    </w:p>
    <w:p>
      <w:pPr>
        <w:numPr>
          <w:ilvl w:val="0"/>
          <w:numId w:val="1004"/>
        </w:numPr>
        <w:pStyle w:val="Compact"/>
      </w:pPr>
      <w:r>
        <w:t>შეამოწმეთ ისტორია ყოველი დოზის წინ, ხოლო მაღალი რისკის მედიკამენტზე — მეორე შემოწმებაც.</w:t>
      </w:r>
    </w:p>
    <w:p>
      <w:pPr>
        <w:pStyle w:val="FirstParagraph"/>
      </w:pPr>
      <w:r>
        <w:rPr>
          <w:bCs/>
          <w:b/>
        </w:rPr>
        <w:t>მთავარი: შემოწმებულია.</w:t>
      </w:r>
      <w:r/>
      <w:r/>
    </w:p>
    <w:p>
      <w:pPr>
        <w:pStyle w:val="BodyText"/>
      </w:pPr>
      <w:r>
        <w:t>ნაბიჯი 2. მიცემა ან გამოტოვება.</w:t>
      </w:r>
    </w:p>
    <w:p>
      <w:pPr>
        <w:numPr>
          <w:ilvl w:val="0"/>
          <w:numId w:val="1005"/>
        </w:numPr>
        <w:pStyle w:val="Compact"/>
      </w:pPr>
      <w:r>
        <w:t>მიეცით დოზა, ან ჩაწერეთ გამოტოვება ან უარი მიზეზით (WRD-REG-001).</w:t>
      </w:r>
    </w:p>
    <w:p>
      <w:pPr>
        <w:pStyle w:val="FirstParagraph"/>
      </w:pPr>
      <w:r>
        <w:rPr>
          <w:bCs/>
          <w:b/>
        </w:rPr>
        <w:t>მთავარი: გაცემულია.</w:t>
      </w:r>
      <w:r/>
      <w:r/>
    </w:p>
    <w:p>
      <w:pPr>
        <w:pStyle w:val="BodyText"/>
      </w:pPr>
      <w:r>
        <w:t>ნაბიჯი 3. შეთანხმება.</w:t>
      </w:r>
    </w:p>
    <w:p>
      <w:pPr>
        <w:numPr>
          <w:ilvl w:val="0"/>
          <w:numId w:val="1006"/>
        </w:numPr>
        <w:pStyle w:val="Compact"/>
      </w:pPr>
      <w:r>
        <w:t>შეათანხმეთ მედიკამენტები მიღებისას, გადაყვანისას და გაწერისას (HOS-FRM-006).</w:t>
      </w:r>
    </w:p>
    <w:p>
      <w:pPr>
        <w:pStyle w:val="FirstParagraph"/>
      </w:pPr>
      <w:r>
        <w:rPr>
          <w:bCs/>
          <w:b/>
        </w:rPr>
        <w:t>მთავარი: შეთანხმებულია.</w:t>
      </w:r>
      <w:r/>
      <w:r/>
    </w:p>
    <w:bookmarkEnd w:id="32"/>
    <w:bookmarkStart w:id="33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8"/>
        </w:numPr>
        <w:pStyle w:val="Compact"/>
      </w:pPr>
      <w:r>
        <w:t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მაღალი რისკის დოზები, ჩაწერილი მეორე შემოწმებით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პალატის მთავარი მედდა</w:t>
            </w:r>
          </w:p>
        </w:tc>
        <w:tc>
          <w:tcPr/>
          <w:p>
            <w:pPr>
              <w:pStyle w:val="Compact"/>
              <w:jc w:val="left"/>
            </w:pPr>
            <w:r>
              <w:t>განიხილეთ დოზა დანიშნულების ექიმთან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გამოტოვებული ან უარყოფილი დოზები მიზეზით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პალატის მთავარი მედდა</w:t>
            </w:r>
          </w:p>
        </w:tc>
        <w:tc>
          <w:tcPr/>
          <w:p>
            <w:pPr>
              <w:pStyle w:val="Compact"/>
              <w:jc w:val="left"/>
            </w:pPr>
            <w:r>
              <w:t>გადახედეთ ისტორიას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პერიოდი,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09"/>
        </w:numPr>
        <w:pStyle w:val="Compact"/>
      </w:pPr>
      <w:r>
        <w:t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1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WRD-REG-001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მედიკამენტების მიცემისა და გამოტოვების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>რეგისტრი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HOS-SOP-006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მაღალი რისკის მედიკამენტები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SOP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5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4">
        <w:r>
          <w:rPr>
            <w:rStyle w:val="Hyperlink"/>
          </w:rPr>
          <w:t xml:space="preserve">Download this document as PDF</w:t>
        </w:r>
      </w:hyperlink>
    </w:p>
    <w:bookmarkEnd w:id="45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40" Type="http://schemas.openxmlformats.org/officeDocument/2006/relationships/hyperlink" Target="/documents/hos-sop-006/" TargetMode="External"/><Relationship Id="rId39" Type="http://schemas.openxmlformats.org/officeDocument/2006/relationships/hyperlink" Target="/documents/wrd-reg-001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8/" TargetMode="External"/><Relationship Id="rId23" Type="http://schemas.openxmlformats.org/officeDocument/2006/relationships/hyperlink" Target="/standards/standard-58/#c58-2" TargetMode="External"/><Relationship Id="rId44" Type="http://schemas.openxmlformats.org/officeDocument/2006/relationships/hyperlink" Target="https://france-asf.fr/wp-content/uploads/2026/10/wrd-sop-002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40" Type="http://schemas.openxmlformats.org/officeDocument/2006/relationships/hyperlink" Target="/documents/hos-sop-006/" TargetMode="External"/><Relationship Id="rId39" Type="http://schemas.openxmlformats.org/officeDocument/2006/relationships/hyperlink" Target="/documents/wrd-reg-001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8/" TargetMode="External"/><Relationship Id="rId23" Type="http://schemas.openxmlformats.org/officeDocument/2006/relationships/hyperlink" Target="/standards/standard-58/#c58-2" TargetMode="External"/><Relationship Id="rId44" Type="http://schemas.openxmlformats.org/officeDocument/2006/relationships/hyperlink" Target="https://france-asf.fr/wp-content/uploads/2026/10/wrd-sop-00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WRD-SOP-002: Ward medicine administration checks</dc:title>
  <dc:creator/>
  <cp:keywords/>
  <dcterms:created xsi:type="dcterms:W3CDTF">2026-10-28T21:32:51Z</dcterms:created>
  <dcterms:modified xsi:type="dcterms:W3CDTF">2026-10-28T21:32:51Z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