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WRK-POL-003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ორგანიზაცია იცავს თავისი თანამშრომლების ჯანმრთელობასა და უსაფრთხოებას მუშაობისას.</w:t>
      </w:r>
    </w:p>
    <w:p>
      <w:pPr>
        <w:numPr>
          <w:ilvl w:val="0"/>
          <w:numId w:val="1001"/>
        </w:numPr>
        <w:pStyle w:val="Compact"/>
      </w:pPr>
      <w:r>
        <w:t xml:space="preserve">საჭირო ვაქცინაციები მოწმდება დანიშვნისას და განახლებულია.</w:t>
      </w:r>
    </w:p>
    <w:p>
      <w:pPr>
        <w:numPr>
          <w:ilvl w:val="0"/>
          <w:numId w:val="1001"/>
        </w:numPr>
        <w:pStyle w:val="Compact"/>
      </w:pPr>
      <w:r>
        <w:t xml:space="preserve">სისხლთან ან სხეულის სითხეებთან კონტაქტი მოიხსენება და მიჰყვება იმავე დღეს.</w:t>
      </w:r>
    </w:p>
    <w:p>
      <w:pPr>
        <w:numPr>
          <w:ilvl w:val="0"/>
          <w:numId w:val="1001"/>
        </w:numPr>
        <w:pStyle w:val="Compact"/>
      </w:pPr>
      <w:r>
        <w:t xml:space="preserve">პერსონალური დამცავი აღჭურვილობა მიეწოდება, ერგება და იცვლება.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თანამშრომელი ემხილა სისხლით გადამდები რისკის მიმართ და შემდგომი დაკვირვება არ დაწყებულა.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დაცული იყოს ყოველი სამუშაო ძალის წევრის ჯანმრთელობა, უსაფრთხოება და კეთილდღეობა მათი მოვალეობების შესრულებისას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ძალის ყველა წევრი, დროებითი მომუშავეები, მოხალისეები და პრაქტიკაზე მყოფი სტუდენტები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შენობა და გამოსვლითი მუშაობა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მათ შორის გამოსვლითი და საზოგადოებრივ მუშაობაში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პირადი ჯანდაცვა სამუშაოს გარეთ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კონტაქტი სისხლთან, სხეულის სითხესთან ან ბასრ საგანთან, რომელმაც შეიძლება ინფექცია გადასცეს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ჯანდაცვის სერვისი, რომელიც უზრუნველყოფს თანამშრომელთა ჯანმრთელობას სამუშაოზე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პერსონალური დამცავი აღჭურვილობა, როგორიცაა ხელთათმანები, ხალათები, ნიღბები და თვალების დამცავი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ჯანდაცვის მუშაკები ეჯახებიან ფიზიკურ, ინფექციურ და ფსიქოლოგიურ რისკებს. კრიტერიუმი 2E.3 ითხოვს დაცვას პრაქტიკაში, ჩანაწერებით და არა მხოლოდ წერილობითი განცხადებით.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 თანამშრომელთა ჯანმრთელობასა და უსაფრთხოებაზე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ვაქცინაციას, ექსპოზიციის მიდევნებას და სამუშაოსთვის ვარგისიანობის შემოწმებას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უშუალო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უზრუნველყოფენ, რომ PPE ხელმისაწვდომი და გამოყენებული იყოს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ყველა 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ექსპოზიციასა და საფრთხეებს მაშინვე აცნობებენ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საკუთარი როლი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PPE მარაგი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როგორც დადგენილია PPE სიაში თითოეული ზონისთვის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ყოველკვირეულად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ვაქცინაციის ჩანაწერი თითოეული თანამშრომლისთვის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განიხილება ყოველ წელს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არც ერთი თანამშრომელი არ მუშაობს კლინიკურ ზონაში იმ ვაქცინაციების გარეშე, რომელიც ამ ზონისთვისაა საჭირო, თუ სამუშაო ჯანმრთელობამ წერილობით არ გაათავისუფლა.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ვაქცინაციის გრაფიკი და თითოეული მომსახურების PPE სია განახლებულია.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შეამოწმეთ სტატუსი დანიშვნისას.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ვაქცინაციის სტატუსი პირველ ცვლამდე.</w:t>
      </w:r>
    </w:p>
    <w:p>
      <w:pPr>
        <w:numPr>
          <w:ilvl w:val="0"/>
          <w:numId w:val="1004"/>
        </w:numPr>
        <w:pStyle w:val="Compact"/>
      </w:pPr>
      <w:r>
        <w:t xml:space="preserve">ჩაწერეთ ნებისმიერი გამოტოვებული ვაქცინაცია და მისი დასრულების გეგმა.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არავინ იწყებს კლინიკურ მუშაობას ჩაწერილი სტატუსის გარეშე.</w:t>
      </w:r>
    </w:p>
    <w:p>
      <w:pPr>
        <w:pStyle w:val="BodyText"/>
      </w:pPr>
      <w:r>
        <w:t xml:space="preserve">ნაბიჯი 2. რეაგირება ექსპოზიციაზე.</w:t>
      </w:r>
    </w:p>
    <w:p>
      <w:pPr>
        <w:numPr>
          <w:ilvl w:val="0"/>
          <w:numId w:val="1005"/>
        </w:numPr>
        <w:pStyle w:val="Compact"/>
      </w:pPr>
      <w:r>
        <w:t xml:space="preserve">მაშინვე მიჰყევით WRK-SOP-002-ს: პირველადი დახმარება, ანგარიშგება და ექსპოზიციის შემდგომი მოვლა.</w:t>
      </w:r>
    </w:p>
    <w:p>
      <w:pPr>
        <w:numPr>
          <w:ilvl w:val="0"/>
          <w:numId w:val="1005"/>
        </w:numPr>
        <w:pStyle w:val="Compact"/>
      </w:pPr>
      <w:r>
        <w:t xml:space="preserve">ექსპოზიცია იმავე დღეს ჩაწერეთ ინციდენტების სისტემაში.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პირველი საათი მნიშვნელოვანია.</w:t>
      </w:r>
    </w:p>
    <w:p>
      <w:pPr>
        <w:pStyle w:val="BodyText"/>
      </w:pPr>
      <w:r>
        <w:t xml:space="preserve">ნაბიჯი 3. მხარი დაუჭირეთ თანამშრომელს.</w:t>
      </w:r>
    </w:p>
    <w:p>
      <w:pPr>
        <w:numPr>
          <w:ilvl w:val="0"/>
          <w:numId w:val="1006"/>
        </w:numPr>
        <w:pStyle w:val="Compact"/>
      </w:pPr>
      <w:r>
        <w:t xml:space="preserve">სამუშაო ჯანმრთელობა განიხილავს ექსპოზიციას და ანაწყობს შემდგომ ტესტებს.</w:t>
      </w:r>
    </w:p>
    <w:p>
      <w:pPr>
        <w:numPr>
          <w:ilvl w:val="0"/>
          <w:numId w:val="1006"/>
        </w:numPr>
        <w:pStyle w:val="Compact"/>
      </w:pPr>
      <w:r>
        <w:t xml:space="preserve">თანამშრომელს ეუბნებიან შედეგს და შემდეგ ნაბიჯებს.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თანამშრომელი არასდროს რჩება შემდგომი მიდევნების გარეშე.</w:t>
      </w:r>
    </w:p>
    <w:p>
      <w:pPr>
        <w:pStyle w:val="BodyText"/>
      </w:pPr>
      <w:r>
        <w:t xml:space="preserve">ნაბიჯი 4. განიხილეთ მიზეზი.</w:t>
      </w:r>
    </w:p>
    <w:p>
      <w:pPr>
        <w:numPr>
          <w:ilvl w:val="0"/>
          <w:numId w:val="1007"/>
        </w:numPr>
        <w:pStyle w:val="Compact"/>
      </w:pPr>
      <w:r>
        <w:t xml:space="preserve">ყოველი ექსპოზიცია განიხილება ყოველთვიურ უსაფრთხოების შეხვედრაზე.</w:t>
      </w:r>
    </w:p>
    <w:p>
      <w:pPr>
        <w:numPr>
          <w:ilvl w:val="0"/>
          <w:numId w:val="1007"/>
        </w:numPr>
        <w:pStyle w:val="Compact"/>
      </w:pPr>
      <w:r>
        <w:t xml:space="preserve">შეცვალეთ პრაქტიკა ან აღჭურვილობა იქ, სადაც მიზეზი ნაპოვნია.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ყოველმა ექსპოზიციამ უნდა გამოიწვიოს ცვლილება ან ჩაწერილი მიზეზი, თუ ცვლილება არ მოხდა.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თანამშრომელი ვერ აკმაყოფილებს დავალებას, სამუშაო ჯანმრთელობა წყვეტს დროებით ცვლილებას მოვალეობებში, განსაზღვრული განხილვის თარიღით.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აფეთქება ან ეპიდემია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ჯანმრთელობა 24 საათში ავრცელებს განახლებულ PPE და ვაქცინაციის მითითებებს ყველა თანამშრომელთან.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ნებისმიერი ექსპოზიცია გამოტოვებული მიდევნებით ან ნებისმიერი თანამშრომელი საჭირო ვაქცინაციის გარეშე ეცნობება მთავარ აღმასრულებელს.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საჭირო ვაქცინაციებით ჩაწერილი თანამშრომლები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ექსპოზიციები მიდევნებულია 24 საათში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PPE შემოწმებები დასრულებულია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უშუალო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მარაგის შევსება და 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WRK-FRM-002 ან ინციდენტების სისტემა: ექსპოზიციის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40 წელი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ვაქცინაციის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ჯანმრთელობის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40 წელი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ყველა თანამშრომელი გადამზადებულია PPE-ს გამოყენებასა და ექსპოზიციის ანგარიშგებაში დანიშვნისას და ყოველ წელს განახლდება.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ექსპოზიცია და ნემსის ჩხვლეტაზე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ექსპოზიციის ნაბიჯები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თანამშრომელთა ვაქცინაცია და იმუნიზაცია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ვაქცინაციის გრაფიკი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WRK-SOP-004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მხარდაჭერა მძიმე მოვლენების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კეთილდღეობა ინციდენტების შემდეგ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WHO-ს სახელმძღვანელო ხელის ჰიგიენაზე ჯანდაცვაში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4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ახალი კურსი დაგეგმილია.</w:t>
      </w:r>
    </w:p>
    <w:bookmarkEnd w:id="45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numPr>
          <w:ilvl w:val="0"/>
          <w:numId w:val="1011"/>
        </w:numPr>
        <w:pStyle w:val="Compact"/>
      </w:pPr>
      <w:r>
        <w:t xml:space="preserve">ჯანდაცვის მსოფლიო ორგანიზაცია (2009). WHO-ს სახელმძღვანელო ხელის ჰიგიენაზე ჯანდაცვაში. ჟენევა: WHO.</w:t>
      </w:r>
      <w:r>
        <w:t xml:space="preserve"> </w:t>
      </w:r>
      <w:hyperlink r:id="rId46">
        <w:r>
          <w:rPr>
            <w:rStyle w:val="Hyperlink"/>
          </w:rPr>
          <w:t xml:space="preserve">ღია წყარო</w:t>
        </w:r>
      </w:hyperlink>
      <w:r>
        <w:t xml:space="preserve"> </w:t>
      </w:r>
      <w:r>
        <w:t xml:space="preserve">(E-001)</w:t>
      </w:r>
    </w:p>
    <w:p>
      <w:pPr>
        <w:pStyle w:val="FirstParagraph"/>
      </w:pPr>
      <w:hyperlink r:id="rId47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wrk-sop-002/" TargetMode="External" /><Relationship Type="http://schemas.openxmlformats.org/officeDocument/2006/relationships/hyperlink" Id="rId40" Target="/ka/documents/wrk-sop-003/" TargetMode="External" /><Relationship Type="http://schemas.openxmlformats.org/officeDocument/2006/relationships/hyperlink" Id="rId41" Target="/ka/documents/wrk-sop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3" TargetMode="External" /><Relationship Type="http://schemas.openxmlformats.org/officeDocument/2006/relationships/hyperlink" Id="rId48" Target="https://france-asf.fr/wp-content/uploads/2026/10/wrk-pol-003-form-1.docx" TargetMode="External" /><Relationship Type="http://schemas.openxmlformats.org/officeDocument/2006/relationships/hyperlink" Id="rId47" Target="https://france-asf.fr/wp-content/uploads/2026/10/wrk-pol-003-form-a4-1.pdf" TargetMode="External" /><Relationship Type="http://schemas.openxmlformats.org/officeDocument/2006/relationships/hyperlink" Id="rId46" Target="https://www.who.int/publications/i/item/97892415979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wrk-sop-002/" TargetMode="External" /><Relationship Type="http://schemas.openxmlformats.org/officeDocument/2006/relationships/hyperlink" Id="rId40" Target="/ka/documents/wrk-sop-003/" TargetMode="External" /><Relationship Type="http://schemas.openxmlformats.org/officeDocument/2006/relationships/hyperlink" Id="rId41" Target="/ka/documents/wrk-sop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3" TargetMode="External" /><Relationship Type="http://schemas.openxmlformats.org/officeDocument/2006/relationships/hyperlink" Id="rId48" Target="https://france-asf.fr/wp-content/uploads/2026/10/wrk-pol-003-form-1.docx" TargetMode="External" /><Relationship Type="http://schemas.openxmlformats.org/officeDocument/2006/relationships/hyperlink" Id="rId47" Target="https://france-asf.fr/wp-content/uploads/2026/10/wrk-pol-003-form-a4-1.pdf" TargetMode="External" /><Relationship Type="http://schemas.openxmlformats.org/officeDocument/2006/relationships/hyperlink" Id="rId46" Target="https://www.who.int/publications/i/item/97892415979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2026-11-07T01:46:08Z</dcterms:created>
  <dcterms:modified xsi:type="dcterms:W3CDTF">2026-11-07T01:46:08Z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