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WRK-SOP-002:</w:t>
      </w:r>
      <w:r>
        <w:t xml:space="preserve"> </w:t>
      </w:r>
      <w:r>
        <w:t xml:space="preserve">პროფესიული</w:t>
      </w:r>
      <w:r>
        <w:t xml:space="preserve"> </w:t>
      </w:r>
      <w:r>
        <w:t xml:space="preserve">ექსპოზიცია</w:t>
      </w:r>
      <w:r>
        <w:t xml:space="preserve"> </w:t>
      </w:r>
      <w:r>
        <w:t xml:space="preserve">და</w:t>
      </w:r>
      <w:r>
        <w:t xml:space="preserve"> </w:t>
      </w:r>
      <w:r>
        <w:t xml:space="preserve">ნემსით</w:t>
      </w:r>
      <w:r>
        <w:t xml:space="preserve"> </w:t>
      </w:r>
      <w:r>
        <w:t xml:space="preserve">დაზიანებაზე</w:t>
      </w:r>
      <w:r>
        <w:t xml:space="preserve"> </w:t>
      </w:r>
      <w:r>
        <w:t xml:space="preserve">რეაგირება</w:t>
      </w:r>
    </w:p>
    <w:bookmarkStart w:id="47" w:name="X39eb7d39f27929868d2d2d7336b8ee91d01b768"/>
    <w:p>
      <w:pPr>
        <w:pStyle w:val="Heading1"/>
      </w:pPr>
      <w:r>
        <w:t xml:space="preserve">WRK-SOP-002: პროფესიული ექსპოზიცია და ნემსით დაზიანებაზე რეაგირება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გარეცხეთ ადგილი. ჭრილობას არ გამოსწუროთ.</w:t>
      </w:r>
    </w:p>
    <w:p>
      <w:pPr>
        <w:numPr>
          <w:ilvl w:val="0"/>
          <w:numId w:val="1001"/>
        </w:numPr>
        <w:pStyle w:val="Compact"/>
      </w:pPr>
      <w:r>
        <w:t xml:space="preserve">ექსპოზიცია იმავე დღეს აცნობეთ თქვენს უშუალო ხელმძღვანელს და შრომის ჯანმრთელობის სამსახურს.</w:t>
      </w:r>
    </w:p>
    <w:p>
      <w:pPr>
        <w:numPr>
          <w:ilvl w:val="0"/>
          <w:numId w:val="1001"/>
        </w:numPr>
        <w:pStyle w:val="Compact"/>
      </w:pPr>
      <w:r>
        <w:t xml:space="preserve">ექსპოზიციის შემდგომ შეფასებას დაესწარით შრომის ჯანმრთელობის სამსახურის მიერ დადგენილ ვადაში.</w:t>
      </w:r>
    </w:p>
    <w:p>
      <w:pPr>
        <w:numPr>
          <w:ilvl w:val="0"/>
          <w:numId w:val="1001"/>
        </w:numPr>
        <w:pStyle w:val="Compact"/>
      </w:pPr>
      <w:r>
        <w:t xml:space="preserve">ექსპოზიცია ჩაწერეთ ინციდენტების სისტემაში.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პერსონალის წევრს აქვს ნემსით დაზიანება ან შხეფი, და წყარო-პაციენტის ან პერსონალის წევრის სტატუსი უცნობია და არავინ არის ინფორმირებული.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სისხლთან ან სხეულის სითხეებთან ყოველი ექსპოზიცია დაუყოვნებლივ მკურნალობდეს და დროულად მეთვალყურეობდეს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პერსონალი, სტუდენტი და მოხალისე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ობიექტი და გამოძახებითი მომსახურება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ნემსით დაზიანების, მკვეთრი საგნით ტრავმის ან შხეფის შემდეგ თვალებზე, ცხვირზე, ბაგეზე ან დაზიანებულ კანზე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მთლიან კანთან კონტაქტი რისკის გარეშე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კონტაქტი სისხლთან ან სხეულის სითხესთან კანის გახვრეტით, ლორწოვანით ან დაზიანებული კანით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წყარო-პაციენტი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პაციენტი, რომლის სისხლიც ან სითხეც იყო ჩართული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ექსპოზიციის შემდგომი პროფილაქტიკა (PEP)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წამალი, რომელიც ექსპოზიციის შემდეგ ინფექციის რისკის შესამცირებლად ეძლევა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ექსპოზიციების უმეტესობა თავიდან აცილებადია, მაგრამ როცა ის მაინც ხდება, მკურნალობამდე დრო განსაზღვრავს, შეუძლია თუ არა PEP-ს მოქმედება. მკაფიო მარშრუტი პერსონალის წევრს იცავს.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დაზარალებული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იწყებს პირველ დახმარებას და დაუყოვნებლივ აცნობებს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ექსპოზიციების პირველ დახმარებაში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პირდაპირი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უზრუნველყოფს, რომ ექსპოზიცია ეცნობოს და პირი დროულად ნახონ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აფასებს, სთავაზობს PEP-სა და შემდგომ ანალიზებს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ექსპოზიციის პირველი დახმარების ნაკრები წყლის ჩამონადენითა და თვალის სარეცხით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კლინიკურ ზონაში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ყოველკვირეულად მოწმდება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ექსპოზიციის შეტყობინების ფორმა (ინციდენტების სისტემა)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ყველა პალატაში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პირველი დახმარება არ გადადოთ შეტყობინებისთვის. ჭრილობას არ გამოსწუროთ. გაწმენდისას ხელთათმანი ჩაიცვით.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შრომის ჯანმრთელობის საკონტაქტო ნომერი და არასამუშაო საათების მარშრუტი ყოველი კლინიკური ზონის კედელზეა.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პირველი დახმარება.</w:t>
      </w:r>
    </w:p>
    <w:p>
      <w:pPr>
        <w:numPr>
          <w:ilvl w:val="0"/>
          <w:numId w:val="1004"/>
        </w:numPr>
        <w:pStyle w:val="Compact"/>
      </w:pPr>
      <w:r>
        <w:t xml:space="preserve">ადგილი გარეცხეთ საპნითა და ჩამონადენი წყლით.</w:t>
      </w:r>
    </w:p>
    <w:p>
      <w:pPr>
        <w:numPr>
          <w:ilvl w:val="0"/>
          <w:numId w:val="1004"/>
        </w:numPr>
        <w:pStyle w:val="Compact"/>
      </w:pPr>
      <w:r>
        <w:t xml:space="preserve">თვალებისთვის, 15 წუთის განმავლობაში გაავლეთ სუფთა წყალი ან ფიზიოლოგიური ხსნარი.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ეს პირველ რიგში გააკეთეთ, ყველაფერზე წინ.</w:t>
      </w:r>
    </w:p>
    <w:p>
      <w:pPr>
        <w:pStyle w:val="BodyText"/>
      </w:pPr>
      <w:r>
        <w:t xml:space="preserve">ნაბიჯი 2. შეტყობინება.</w:t>
      </w:r>
    </w:p>
    <w:p>
      <w:pPr>
        <w:numPr>
          <w:ilvl w:val="0"/>
          <w:numId w:val="1005"/>
        </w:numPr>
        <w:pStyle w:val="Compact"/>
      </w:pPr>
      <w:r>
        <w:t xml:space="preserve">იმავე დღეს აცნობეთ უშუალო ხელმძღვანელს და შრომის ჯანმრთელობის სამსახურს.</w:t>
      </w:r>
    </w:p>
    <w:p>
      <w:pPr>
        <w:numPr>
          <w:ilvl w:val="0"/>
          <w:numId w:val="1005"/>
        </w:numPr>
        <w:pStyle w:val="Compact"/>
      </w:pPr>
      <w:r>
        <w:t xml:space="preserve">მიუთითეთ დრო, მიზეზი და წყარო, თუ ცნობილია.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შეტყობინება იწყებს PEP-ის ვადის ათვლას.</w:t>
      </w:r>
    </w:p>
    <w:p>
      <w:pPr>
        <w:pStyle w:val="BodyText"/>
      </w:pPr>
      <w:r>
        <w:t xml:space="preserve">ნაბიჯი 3. შეფასება.</w:t>
      </w:r>
    </w:p>
    <w:p>
      <w:pPr>
        <w:numPr>
          <w:ilvl w:val="0"/>
          <w:numId w:val="1006"/>
        </w:numPr>
        <w:pStyle w:val="Compact"/>
      </w:pPr>
      <w:r>
        <w:t xml:space="preserve">შრომის ჯანმრთელობის სამსახურში მიხვედით დადგენილ ვადაში (PEP-ისთვის, როგორც წესი, 2 საათის განმავლობაში).</w:t>
      </w:r>
    </w:p>
    <w:p>
      <w:pPr>
        <w:numPr>
          <w:ilvl w:val="0"/>
          <w:numId w:val="1006"/>
        </w:numPr>
        <w:pStyle w:val="Compact"/>
      </w:pPr>
      <w:r>
        <w:t xml:space="preserve">მოითხოვეთ წყარო-პაციენტის გამოკვლევა თანხმობით, სადაც პოლიტიკა ამის საშუალებას იძლევა.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PEP ყველაზე ეფექტურია, როცა ადრე იწყება.</w:t>
      </w:r>
    </w:p>
    <w:p>
      <w:pPr>
        <w:pStyle w:val="BodyText"/>
      </w:pPr>
      <w:r>
        <w:t xml:space="preserve">ნაბიჯი 4. ჩაწერა და სწავლა.</w:t>
      </w:r>
    </w:p>
    <w:p>
      <w:pPr>
        <w:numPr>
          <w:ilvl w:val="0"/>
          <w:numId w:val="1007"/>
        </w:numPr>
        <w:pStyle w:val="Compact"/>
      </w:pPr>
      <w:r>
        <w:t xml:space="preserve">შეიტანეთ ექსპოზიცია ინციდენტების სისტემაში.</w:t>
      </w:r>
    </w:p>
    <w:p>
      <w:pPr>
        <w:numPr>
          <w:ilvl w:val="0"/>
          <w:numId w:val="1007"/>
        </w:numPr>
        <w:pStyle w:val="Compact"/>
      </w:pPr>
      <w:r>
        <w:t xml:space="preserve">მიზეზი განიხილეთ უსაფრთხოების ყოველთვიურ შეხვედრაზე.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ექსპოზიცია სწავლის საგანია.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წყარო მაღალი რისკისაა, შრომის ჯანმრთელობა დაუყოვნებლივ კონსულტაციას უწევს PEP-ზე. პერსონალის წევრმა ეს გადაწყვეტილება არ შეიძლება გადადოს.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გამოიყენეთ კედელზე მითითებული არასამუშაო საათების ნომერი. მორიგე ექიმი PEP-ს დადგენილ ვადაში იწყებს.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წყარო-პაციენტი უარს ამბობს გამოკვლევაზე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ჯანმრთელობა აფასებს რისკს და პერსონალის წევრისთვის PEP-ზე კონსულტაციას უწევს.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თუ PEP დროულად ვერ დაიწყება, აღმასრულებელი დირექტორი იმავე დღეს ინფორმირდება.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ექსპოზიციები ნაცნობი იმავე დღეს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PEP დაწყებულია დადგენილ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ექსპოზიციის შეტყობინება ინციდენტების სისტემაში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40 წელი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ყველა კლინიკური პერსონალი გადამზადებულია ამ პროცედურაში დანიშვნისას და ყოველწლიურ განახლებაზე.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უსაფრთხოების, ჯანმრთელობისა და კეთილდღეობის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პოლიტიკა, რომელსაც ეს პროცედურა უჭერს მხარს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ვაქცინაცია და იმუნიზაცია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ჰეპატიტი B და სხვა ვაქცინაციები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ჯანდაცვის მსოფლიო ორგანიზაციის (WHO) სახელმძღვანელო ხელების ჰიგიენის შესახებ ჯანდაცვაში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დროის ზღვრები დადგენილია ASF ექსპერტთა კომიტეტისა და შრომის ჯანმრთელობის სამსახურის მიერ.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ახალი კურსი დაგეგმილია.</w:t>
      </w:r>
    </w:p>
    <w:bookmarkEnd w:id="44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11"/>
        </w:numPr>
        <w:pStyle w:val="Compact"/>
      </w:pPr>
      <w:r>
        <w:t xml:space="preserve">ჯანდაცვის მსოფლიო ორგანიზაცია (2009). WHO Guidelines on Hand Hygiene in Health Care. ჟენევა: WHO.</w:t>
      </w:r>
      <w:r>
        <w:t xml:space="preserve"> </w:t>
      </w:r>
      <w:hyperlink r:id="rId45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(E-001)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rk-pol-003/" TargetMode="External" /><Relationship Type="http://schemas.openxmlformats.org/officeDocument/2006/relationships/hyperlink" Id="rId40" Target="/documents/wrk-sop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Relationship Type="http://schemas.openxmlformats.org/officeDocument/2006/relationships/hyperlink" Id="rId45" Target="https://www.who.int/publications/i/item/9789241597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rk-pol-003/" TargetMode="External" /><Relationship Type="http://schemas.openxmlformats.org/officeDocument/2006/relationships/hyperlink" Id="rId40" Target="/documents/wrk-sop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Relationship Type="http://schemas.openxmlformats.org/officeDocument/2006/relationships/hyperlink" Id="rId45" Target="https://www.who.int/publications/i/item/9789241597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WRK-SOP-002: პროფესიული ექსპოზიცია და ნემსით დაზიანებაზე რეაგირება</dc:title>
  <dc:creator/>
  <dc:language>ka</dc:language>
  <cp:keywords/>
  <dcterms:created xsi:type="dcterms:W3CDTF">2026-11-07T01:28:05Z</dcterms:created>
  <dcterms:modified xsi:type="dcterms:W3CDTF">2026-11-07T01:28:05Z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