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WRK-SOP-004: დახმარება მძიმე მოვლენების შემდეგ</w:t>
      </w:r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სტანდარტული საოპერაციო პროცედურა</w:t>
            </w:r>
          </w:p>
          <w:p>
            <w:pPr>
              <w:pStyle w:val="Compact"/>
              <w:jc w:val="left"/>
            </w:pPr>
            <w:r>
              <w:t>დახმარება მძიმე მოვლენების შემდეგ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WRK-SOP-004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2E</w:t>
        </w:r>
      </w:hyperlink>
      <w:r/>
      <w:r/>
      <w:r/>
      <w:hyperlink r:id="rId22">
        <w:r>
          <w:rPr>
            <w:rStyle w:val="Hyperlink"/>
          </w:rPr>
          <w:t xml:space="preserve">Standard operating procedures (SOPs)</w:t>
        </w:r>
      </w:hyperlink>
    </w:p>
    <w:p>
      <w:pPr>
        <w:pStyle w:val="BodyText"/>
      </w:pPr>
      <w:r>
        <w:t>სტანდარტული საოპერაციო პროცედურა (SOP) · WRK-SOP-004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2E.3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მძიმე მოვლენის შემდეგ 24 საათში შესთავაზეთ დახმარება ყველა ჩართულ თანამშრომელს.</w:t>
      </w:r>
    </w:p>
    <w:p>
      <w:pPr>
        <w:numPr>
          <w:ilvl w:val="0"/>
          <w:numId w:val="1001"/>
        </w:numPr>
        <w:pStyle w:val="Compact"/>
      </w:pPr>
      <w:r>
        <w:t>შესთავაზეთ კონფიდენციალური გზა სამსახურებრივ ჯანმრთელობასა ან კონსულტანტთან.</w:t>
      </w:r>
    </w:p>
    <w:p>
      <w:pPr>
        <w:numPr>
          <w:ilvl w:val="0"/>
          <w:numId w:val="1001"/>
        </w:numPr>
        <w:pStyle w:val="Compact"/>
      </w:pPr>
      <w:r>
        <w:t>ერთი კვირის შემდეგ კვლავ შეამოწმეთ თანამშრომელი.</w:t>
      </w:r>
    </w:p>
    <w:p>
      <w:pPr>
        <w:numPr>
          <w:ilvl w:val="0"/>
          <w:numId w:val="1001"/>
        </w:numPr>
        <w:pStyle w:val="Compact"/>
      </w:pPr>
      <w:r>
        <w:t>აღრიცხეთ შეთავაზება და რეაგირება.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და მიიღეთ დახმარება, თუ: მძიმე მოვლენაში ჩართულ თანამშრომელს დახმარება არ შეუთავაზეს.</w:t>
      </w:r>
    </w:p>
    <w:bookmarkStart w:id="24" w:name="purpose"/>
    <w:p>
      <w:pPr>
        <w:pStyle w:val="Heading2"/>
      </w:pPr>
      <w:r>
        <w:t>1. მიზანი</w:t>
      </w:r>
    </w:p>
    <w:p>
      <w:pPr>
        <w:pStyle w:val="FirstParagraph"/>
      </w:pPr>
      <w:r>
        <w:t>იმისთვის, რომ მძიმე ან მძიმე ემოციური მოვლენებით დაზარალებულ თანამშრომლებს დროული და კონფიდენციალური დახმარება მიეწოდოთ [EC].</w:t>
      </w:r>
    </w:p>
    <w:bookmarkEnd w:id="24"/>
    <w:bookmarkStart w:id="25" w:name="scope"/>
    <w:p>
      <w:pPr>
        <w:pStyle w:val="Heading2"/>
      </w:pPr>
      <w:r>
        <w:t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ყველა თანამშრომელი, რომელიც მონაწილეობს ან დაზარალებულია მძიმე მოვლენაში, მათ შორის პაციენტის გარდაცვალებაში, მძიმე ზიანსა და ძალადობაში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>ყველა სერვისი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>მოვლენიდან 24 საათში, შემდეგი შემოწმება ერთი კვირის შემდეგ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რუტინული სტრესი კონკრეტული მოვლენის გარეშე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მძიმე მოვლენა</w:t>
            </w:r>
          </w:p>
        </w:tc>
        <w:tc>
          <w:tcPr/>
          <w:p>
            <w:pPr>
              <w:pStyle w:val="Compact"/>
              <w:jc w:val="left"/>
            </w:pPr>
            <w:r>
              <w:t>მოვლენა, რომელმაც შეიძლება მნიშვნელოვანი ფსიქოლოგიური დისტრესი გამოიწვიოს მასში ჩართულ პირებში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დებრიფინგი</w:t>
            </w:r>
          </w:p>
        </w:tc>
        <w:tc>
          <w:tcPr/>
          <w:p>
            <w:pPr>
              <w:pStyle w:val="Compact"/>
              <w:jc w:val="left"/>
            </w:pPr>
            <w:r>
              <w:t>სტრუქტურირებული საუბარი მოვლენის შემდეგ, რათა გაიზიაროთ, რაც მოხდა და რა დახმარებაა საჭირო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საფუძვლები</w:t>
      </w:r>
    </w:p>
    <w:p>
      <w:pPr>
        <w:pStyle w:val="FirstParagraph"/>
      </w:pPr>
      <w:r>
        <w:t>თანამშრომლები, რომლებსაც მძიმე მოვლენების შემდეგ დახმარება არ მიეწოდებათ, უფრო მაღალ რისკშია გადაწვისა და სამსახურის დატოვების მიმართ. ადრეული დახმარება სწრაფი და დაბალხარჯიანია.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სამსახურის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>იწყებს დახმარების პროცესს 24 საათში</w:t>
            </w:r>
          </w:p>
        </w:tc>
        <w:tc>
          <w:tcPr/>
          <w:p>
            <w:pPr>
              <w:pStyle w:val="Compact"/>
              <w:jc w:val="left"/>
            </w:pPr>
            <w:r>
              <w:t>მართვა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სამსახურებრივი ჯანმრთელობა</w:t>
            </w:r>
          </w:p>
        </w:tc>
        <w:tc>
          <w:tcPr/>
          <w:p>
            <w:pPr>
              <w:pStyle w:val="Compact"/>
              <w:jc w:val="left"/>
            </w:pPr>
            <w:r>
              <w:t>უზრუნველყოფს კონფიდენციალურ დახმარებასა და შემდგომ შემოწმებას</w:t>
            </w:r>
          </w:p>
        </w:tc>
        <w:tc>
          <w:tcPr/>
          <w:p>
            <w:pPr>
              <w:pStyle w:val="Compact"/>
              <w:jc w:val="left"/>
            </w:pPr>
            <w:r>
              <w:t>სამსახურებრივი ჯანმრთელობა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თანამშრომელი</w:t>
            </w:r>
          </w:p>
        </w:tc>
        <w:tc>
          <w:tcPr/>
          <w:p>
            <w:pPr>
              <w:pStyle w:val="Compact"/>
              <w:jc w:val="left"/>
            </w:pPr>
            <w:r>
              <w:t>იღებს ან უარს ამბობს დახმარებაზე და ეუბნება მენეჯერს, რა ეხმარება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საკუთარი როლი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პირობა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კონფიდენციალური საკონტაქტო მონაცემების სია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</w:t>
            </w:r>
          </w:p>
        </w:tc>
        <w:tc>
          <w:tcPr/>
          <w:p>
            <w:pPr>
              <w:pStyle w:val="Compact"/>
              <w:jc w:val="left"/>
            </w:pPr>
            <w:r>
              <w:t>დაბეჭდილია ყოველ თანამშრომელთა ოთახში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დახმარება ისმება, არასოდეს იძულებით. თანამშრომელს შეუძლია უარი თქვას და მოგვიანებით ითხოვოს.</w:t>
      </w:r>
    </w:p>
    <w:bookmarkEnd w:id="30"/>
    <w:bookmarkStart w:id="31" w:name="before-you-start"/>
    <w:p>
      <w:pPr>
        <w:pStyle w:val="Heading2"/>
      </w:pPr>
      <w:r>
        <w:t>8. დაწყებამდე</w:t>
      </w:r>
    </w:p>
    <w:p>
      <w:pPr>
        <w:numPr>
          <w:ilvl w:val="0"/>
          <w:numId w:val="1003"/>
        </w:numPr>
        <w:pStyle w:val="Compact"/>
      </w:pPr>
      <w:r>
        <w:t>დაადასტურეთ, რომ კონფიდენციალური საკონტაქტო მონაცემები განახლებულია.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ეტაპი 1. დაადგინეთ დაზარალებულები.</w:t>
      </w:r>
    </w:p>
    <w:p>
      <w:pPr>
        <w:numPr>
          <w:ilvl w:val="0"/>
          <w:numId w:val="1004"/>
        </w:numPr>
        <w:pStyle w:val="Compact"/>
      </w:pPr>
      <w:r>
        <w:t>ჩამოთვალეთ ყველა, ვინც მოვლენაში არის ჩართული ან დაზარალებული.</w:t>
      </w:r>
    </w:p>
    <w:p>
      <w:pPr>
        <w:pStyle w:val="FirstParagraph"/>
      </w:pPr>
      <w:r>
        <w:rPr>
          <w:bCs/>
          <w:b/>
        </w:rPr>
        <w:t>მთავარი დებულება: არ ივარაუდოთ, რომ მხოლოდ ცენტრში მყოფი პირი არის დაზარალებული.</w:t>
      </w:r>
      <w:r/>
      <w:r/>
    </w:p>
    <w:p>
      <w:pPr>
        <w:pStyle w:val="BodyText"/>
      </w:pPr>
      <w:r>
        <w:t>ეტაპი 2. დახმარება შესთავაზეთ 24 საათში.</w:t>
      </w:r>
    </w:p>
    <w:p>
      <w:pPr>
        <w:numPr>
          <w:ilvl w:val="0"/>
          <w:numId w:val="1005"/>
        </w:numPr>
        <w:pStyle w:val="Compact"/>
      </w:pPr>
      <w:r>
        <w:t>თითოეულ პირს ცალკე ესაუბრეთ.</w:t>
      </w:r>
    </w:p>
    <w:p>
      <w:pPr>
        <w:numPr>
          <w:ilvl w:val="0"/>
          <w:numId w:val="1005"/>
        </w:numPr>
        <w:pStyle w:val="Compact"/>
      </w:pPr>
      <w:r>
        <w:t>საკონტაქტო მონაცემები მიეცით წერილობით.</w:t>
      </w:r>
    </w:p>
    <w:p>
      <w:pPr>
        <w:pStyle w:val="FirstParagraph"/>
      </w:pPr>
      <w:r>
        <w:rPr>
          <w:bCs/>
          <w:b/>
        </w:rPr>
        <w:t>მთავარი დებულება: შეთავაზება კეთდება და აღირიცხება 24 საათში.</w:t>
      </w:r>
      <w:r/>
      <w:r/>
    </w:p>
    <w:p>
      <w:pPr>
        <w:pStyle w:val="BodyText"/>
      </w:pPr>
      <w:r>
        <w:t>ეტაპი 3. საჭიროებისამებრ ჩაატარეთ დებრიფინგი.</w:t>
      </w:r>
    </w:p>
    <w:p>
      <w:pPr>
        <w:numPr>
          <w:ilvl w:val="0"/>
          <w:numId w:val="1006"/>
        </w:numPr>
        <w:pStyle w:val="Compact"/>
      </w:pPr>
      <w:r>
        <w:t>თუ გუნდი ითხოვს, 72 საათში ჩაატარეთ მოკლე, მოდერირებული დებრიფინგი.</w:t>
      </w:r>
    </w:p>
    <w:p>
      <w:pPr>
        <w:pStyle w:val="FirstParagraph"/>
      </w:pPr>
      <w:r>
        <w:rPr>
          <w:bCs/>
          <w:b/>
        </w:rPr>
        <w:t>მთავარი დებულება: დებრიფინგი არ არის ინდივიდუალური დაბრალების განხილვა.</w:t>
      </w:r>
      <w:r/>
      <w:r/>
    </w:p>
    <w:p>
      <w:pPr>
        <w:pStyle w:val="BodyText"/>
      </w:pPr>
      <w:r>
        <w:t>ეტაპი 4. ერთი კვირის შემდეგ შეამოწმეთ.</w:t>
      </w:r>
    </w:p>
    <w:p>
      <w:pPr>
        <w:numPr>
          <w:ilvl w:val="0"/>
          <w:numId w:val="1007"/>
        </w:numPr>
        <w:pStyle w:val="Compact"/>
      </w:pPr>
      <w:r>
        <w:t>ყოველ პირს ჰკითხეთ, როგორ უმკლავდება.</w:t>
      </w:r>
    </w:p>
    <w:p>
      <w:pPr>
        <w:numPr>
          <w:ilvl w:val="0"/>
          <w:numId w:val="1007"/>
        </w:numPr>
        <w:pStyle w:val="Compact"/>
      </w:pPr>
      <w:r>
        <w:t>აღრიცხეთ რეაგირება და ნებისმიერი შემდგომი დახმარება.</w:t>
      </w:r>
    </w:p>
    <w:p>
      <w:pPr>
        <w:pStyle w:val="FirstParagraph"/>
      </w:pPr>
      <w:r>
        <w:rPr>
          <w:bCs/>
          <w:b/>
        </w:rPr>
        <w:t>მთავარი დებულება: ერთკვირიანი შემოწმება ყველაზე ხშირად გამოტოვებული შემოწმებაა.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08"/>
        </w:numPr>
        <w:pStyle w:val="Compact"/>
      </w:pPr>
      <w:r>
        <w:t>თუ პირი მოვლენის შემდეგ მუშაობისთვის უვარგისია, სამსახურებრივი ჯანმრთელობა წყვეტს დროებით ამოცანებს.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პაციენტის გარდაცვალება</w:t>
            </w:r>
          </w:p>
        </w:tc>
        <w:tc>
          <w:tcPr/>
          <w:p>
            <w:pPr>
              <w:pStyle w:val="Compact"/>
              <w:jc w:val="left"/>
            </w:pPr>
            <w:r>
              <w:t>დახმარება ერთნაირად ისმება, ხოლო ოჯახთან ურთიერთობის პროცესი პარალელურად მიმდინარეობს.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09"/>
        </w:numPr>
        <w:pStyle w:val="Compact"/>
      </w:pPr>
      <w:r>
        <w:t>ნებისმიერი თანამშრომელი, რომელიც თვითდაზიანების ფიქრებს აცხადებს, იმავე დღეს მიმართავს სამსახურებრივ ჯანმრთელობას, ხოლო უშუალო რისკის შემთხვევაში — გადაუდებელ სამსახურებს.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დაზარალებულ თანამშრომლებს დახმარება შემოთავაზებული აქვთ 24 საათში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ყოველი მოვლენა</w:t>
            </w:r>
          </w:p>
        </w:tc>
        <w:tc>
          <w:tcPr/>
          <w:p>
            <w:pPr>
              <w:pStyle w:val="Compact"/>
              <w:jc w:val="left"/>
            </w:pPr>
            <w:r>
              <w:t>სამსახურის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>ესკალაცია მთავარ აღმასრულებელთან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ერთი კვირის შემდგომი შემოწმება აღირიცხა</w:t>
            </w:r>
          </w:p>
        </w:tc>
        <w:tc>
          <w:tcPr/>
          <w:p>
            <w:pPr>
              <w:pStyle w:val="Compact"/>
              <w:jc w:val="left"/>
            </w:pPr>
            <w:r>
              <w:t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ყოველი მოვლენა</w:t>
            </w:r>
          </w:p>
        </w:tc>
        <w:tc>
          <w:tcPr/>
          <w:p>
            <w:pPr>
              <w:pStyle w:val="Compact"/>
              <w:jc w:val="left"/>
            </w:pPr>
            <w:r>
              <w:t>სამსახურებრივი ჯანმრთელობის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გადაეცით სამსახურებრივი ჯანმრთელობის ხელმძღვანელს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დახმარების შეთავაზებისა და დაკვირვების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სამსახურებრივი ჯანმრთელობის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>დასაქმება პლუს 40 წელი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ტრენინგი</w:t>
      </w:r>
    </w:p>
    <w:p>
      <w:pPr>
        <w:numPr>
          <w:ilvl w:val="0"/>
          <w:numId w:val="1010"/>
        </w:numPr>
        <w:pStyle w:val="Compact"/>
      </w:pPr>
      <w:r>
        <w:t>მენეჯერები ინდუქციისას გადამზადებულნი არიან მოვლენის შემდგომ პირველ საუბარში.</w:t>
      </w:r>
    </w:p>
    <w:bookmarkEnd w:id="38"/>
    <w:bookmarkStart w:id="41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WRK-POL-003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სამსახურებრივი ჯანმრთელობის, უსაფრთხოებისა და კეთილდღეობის პოლიტიკა</w:t>
            </w:r>
          </w:p>
        </w:tc>
        <w:tc>
          <w:tcPr/>
          <w:p>
            <w:pPr>
              <w:pStyle w:val="Compact"/>
              <w:jc w:val="left"/>
            </w:pPr>
            <w:r>
              <w:t>პოლიტიკა, რომელსაც ეს პროცედურა მხარს უჭერს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WRK-SOP-006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ძალადობისა და აგრესიის პრევენცია და რეაგირება</w:t>
            </w:r>
          </w:p>
        </w:tc>
        <w:tc>
          <w:tcPr/>
          <w:p>
            <w:pPr>
              <w:pStyle w:val="Compact"/>
              <w:jc w:val="left"/>
            </w:pPr>
            <w:r>
              <w:t>მოვლენები, რომლებიც ძალადობას მოიცავს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1"/>
    <w:bookmarkStart w:id="42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E-006</w:t>
            </w:r>
          </w:p>
        </w:tc>
        <w:tc>
          <w:tcPr/>
          <w:p>
            <w:pPr>
              <w:pStyle w:val="Compact"/>
              <w:jc w:val="left"/>
            </w:pPr>
            <w:r>
              <w:t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3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>ამ დოკუმენტთან ელექტრონული სწავლების კურსი ჯერ არ არის მიბმული.</w:t>
      </w:r>
    </w:p>
    <w:p>
      <w:pPr>
        <w:pStyle w:val="BodyText"/>
      </w:pPr>
      <w:r>
        <w:rPr>
          <w:bCs/>
          <w:b/>
        </w:rPr>
        <w:t>დაგეგმილი კურსი: დაგეგმილია ახალი კურსი.</w:t>
      </w:r>
      <w:r/>
      <w:r/>
    </w:p>
    <w:bookmarkEnd w:id="43"/>
    <w:bookmarkStart w:id="45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1"/>
        </w:numPr>
        <w:pStyle w:val="Compact"/>
      </w:pPr>
      <w:r>
        <w:t>Accréditation Sans Frontières (2026). ASF Policy Framework v1.2. (E-006)</w:t>
      </w:r>
      <w:r/>
      <w:r/>
    </w:p>
    <w:p>
      <w:pPr>
        <w:numPr>
          <w:ilvl w:val="0"/>
          <w:numId w:val="1011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44">
        <w:r>
          <w:rPr>
            <w:rStyle w:val="Hyperlink"/>
          </w:rPr>
          <w:t xml:space="preserve">Download this document as PDF</w:t>
        </w:r>
      </w:hyperlink>
    </w:p>
    <w:bookmarkEnd w:id="45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/documents/wrk-pol-003/" TargetMode="External"/><Relationship Id="rId40" Type="http://schemas.openxmlformats.org/officeDocument/2006/relationships/hyperlink" Target="/documents/wrk-sop-006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e/" TargetMode="External"/><Relationship Id="rId23" Type="http://schemas.openxmlformats.org/officeDocument/2006/relationships/hyperlink" Target="/standards/standard-2e/#c2e-3" TargetMode="External"/><Relationship Id="rId44" Type="http://schemas.openxmlformats.org/officeDocument/2006/relationships/hyperlink" Target="https://france-asf.fr/wp-content/uploads/2026/10/wrk-sop-004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wrk-pol-003/" TargetMode="External"/><Relationship Id="rId40" Type="http://schemas.openxmlformats.org/officeDocument/2006/relationships/hyperlink" Target="/documents/wrk-sop-006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e/" TargetMode="External"/><Relationship Id="rId23" Type="http://schemas.openxmlformats.org/officeDocument/2006/relationships/hyperlink" Target="/standards/standard-2e/#c2e-3" TargetMode="External"/><Relationship Id="rId44" Type="http://schemas.openxmlformats.org/officeDocument/2006/relationships/hyperlink" Target="https://france-asf.fr/wp-content/uploads/2026/10/wrk-sop-00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WRK-SOP-004: Support after distressing events</dc:title>
  <dc:creator/>
  <cp:keywords/>
  <dcterms:created xsi:type="dcterms:W3CDTF">2026-10-28T21:34:40Z</dcterms:created>
  <dcterms:modified xsi:type="dcterms:W3CDTF">2026-10-28T21:34:40Z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