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WTG-POL-002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45.5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პაციენტებს შეუძლიათ ნებისმიერ მომენტში დასვან კითხვები, ნებისმიერ გარემოში.</w:t>
      </w:r>
    </w:p>
    <w:p>
      <w:pPr>
        <w:numPr>
          <w:ilvl w:val="0"/>
          <w:numId w:val="1001"/>
        </w:numPr>
        <w:pStyle w:val="Compact"/>
      </w:pPr>
      <w:r>
        <w:t xml:space="preserve">ხელახალი ახსნის მეთოდი გამოიყენება ძირითადი გადაწყვეტილებებისთვის: დიაგნოზი, მკურნალობა, მედიკამენტები და გაწერა (WTG-FRM-003).</w:t>
      </w:r>
    </w:p>
    <w:p>
      <w:pPr>
        <w:numPr>
          <w:ilvl w:val="0"/>
          <w:numId w:val="1001"/>
        </w:numPr>
        <w:pStyle w:val="Compact"/>
      </w:pPr>
      <w:r>
        <w:t xml:space="preserve">კითხვები და უკუკავშირი ჩაიწერება და პასუხი გაეცემა დადგენილ დროში.</w:t>
      </w:r>
    </w:p>
    <w:p>
      <w:pPr>
        <w:numPr>
          <w:ilvl w:val="0"/>
          <w:numId w:val="1001"/>
        </w:numPr>
        <w:pStyle w:val="Compact"/>
      </w:pPr>
      <w:r>
        <w:t xml:space="preserve">მნიშვნელოვანი მოვლის თანხმობა გაიცემა გადაწყვეტილების მისაღებად საჭირო ინფორმაციით (CON-SOP-001).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ძირითადი გადაწყვეტილება მიღებულია ხელახალი ახსნის შემოწმების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პაციენტებს შეეძლოთ კითხვების დასმა და პასუხების გაგება, და რომ გაგება შემოწმდეს ძირითადი გადაწყვეტილებებისთვის (45.5).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პაციენტები, რომლებსაც არ შეუძლიათ კითხვის დასმა ან რომლებიც გასაგებ პასუხს არ იღებენ, ვერ მონაწილეობენ თავიანთ მოვლაში. ნებისმიერ მომენტში კითხვის დასმის შესაძლებლობა პაციენტს მონაწილედ აქცევს.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ზრუნავს იმაზე, რომ პერსონალი მოიწვევდეს და უპასუხებდეს კითხვებს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ხელახალ ახსნას ყოველ ძირითად გადაწყვეტილებაზე და აღრიცხავს 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მოიწვიეთ.</w:t>
      </w:r>
    </w:p>
    <w:p>
      <w:pPr>
        <w:numPr>
          <w:ilvl w:val="0"/>
          <w:numId w:val="1004"/>
        </w:numPr>
        <w:pStyle w:val="Compact"/>
      </w:pPr>
      <w:r>
        <w:t xml:space="preserve">უთხარით პაციენტს, რომ მას შეუძლია კითხვების დასმა ნებისმიერ მომენტში.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მოწვეულია.</w:t>
      </w:r>
    </w:p>
    <w:p>
      <w:pPr>
        <w:pStyle w:val="BodyText"/>
      </w:pPr>
      <w:r>
        <w:t xml:space="preserve">ნაბიჯი 2.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სთხოვეთ პაციენტს საკუთარი სიტყვებით თქვას, რაც გადაწყდა (WTG-FRM-003).</w:t>
      </w:r>
    </w:p>
    <w:p>
      <w:pPr>
        <w:numPr>
          <w:ilvl w:val="0"/>
          <w:numId w:val="1005"/>
        </w:numPr>
        <w:pStyle w:val="Compact"/>
      </w:pPr>
      <w:r>
        <w:t xml:space="preserve">თუ პაციენტი დაეჭვებულია, გაასწორეთ და გაიმეორეთ ახსნა.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3. აღრიცხეთ და უპასუხეთ.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კითხვა და მისი პასუხი.</w:t>
      </w:r>
    </w:p>
    <w:p>
      <w:pPr>
        <w:numPr>
          <w:ilvl w:val="0"/>
          <w:numId w:val="1006"/>
        </w:numPr>
        <w:pStyle w:val="Compact"/>
      </w:pPr>
      <w:r>
        <w:t xml:space="preserve">უპასუხეთ ნებისმიერ საჩივარს ან უკუკავშირს INC-POL-002-ის მიხედვით.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ძირითადი გადაწყვეტილებები ხელახალი ახსნის ჩანაწერით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მომსახურების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კითხვებზე პასუხი გაიცა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განიხილეთ პერსონალი და პროცესი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WTG-FRM-003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ხელახალი ახსნის ჩანაწერი ძირითადი გადაწყვეტილებებისთვის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ინფორმირებული თანხმობა მნიშვნელოვანი მზრუნველობის წინ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INC-POL-002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ჩივილები და უკუკავშირი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4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მიღება და ინფორმაცია: პირველი ათი წუთი</w:t>
      </w:r>
      <w:r>
        <w:t xml:space="preserve"> </w:t>
      </w:r>
      <w:r>
        <w:t xml:space="preserve">(H-02)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con-sop-001/" TargetMode="External" /><Relationship Type="http://schemas.openxmlformats.org/officeDocument/2006/relationships/hyperlink" Id="rId41" Target="/ka/documents/inc-pol-002/" TargetMode="External" /><Relationship Type="http://schemas.openxmlformats.org/officeDocument/2006/relationships/hyperlink" Id="rId39" Target="/ka/documents/wtg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5" TargetMode="External" /><Relationship Type="http://schemas.openxmlformats.org/officeDocument/2006/relationships/hyperlink" Id="rId47" Target="https://france-asf.fr/wp-content/uploads/2026/10/wtg-pol-002-form-1.docx" TargetMode="External" /><Relationship Type="http://schemas.openxmlformats.org/officeDocument/2006/relationships/hyperlink" Id="rId46" Target="https://france-asf.fr/wp-content/uploads/2026/10/wtg-pol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con-sop-001/" TargetMode="External" /><Relationship Type="http://schemas.openxmlformats.org/officeDocument/2006/relationships/hyperlink" Id="rId41" Target="/ka/documents/inc-pol-002/" TargetMode="External" /><Relationship Type="http://schemas.openxmlformats.org/officeDocument/2006/relationships/hyperlink" Id="rId39" Target="/ka/documents/wtg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5" TargetMode="External" /><Relationship Type="http://schemas.openxmlformats.org/officeDocument/2006/relationships/hyperlink" Id="rId47" Target="https://france-asf.fr/wp-content/uploads/2026/10/wtg-pol-002-form-1.docx" TargetMode="External" /><Relationship Type="http://schemas.openxmlformats.org/officeDocument/2006/relationships/hyperlink" Id="rId46" Target="https://france-asf.fr/wp-content/uploads/2026/10/wtg-pol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2026-11-07T01:22:51Z</dcterms:created>
  <dcterms:modified xsi:type="dcterms:W3CDTF">2026-11-07T01:22:51Z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