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45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SOP · WTG-SOP-001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45.3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პაციენტს, რომელიც ელოდება, მისვლისთანავე ეუბნებიან ლოდინის მიზეზს.</w:t>
      </w:r>
    </w:p>
    <w:p>
      <w:pPr>
        <w:numPr>
          <w:ilvl w:val="0"/>
          <w:numId w:val="1001"/>
        </w:numPr>
        <w:pStyle w:val="Compact"/>
      </w:pPr>
      <w:r>
        <w:t xml:space="preserve">განახლებული შეფასება მიეწოდება ყოველ ჯერზე, როცა ლოდინი იცვლება (WTG-FRM-002).</w:t>
      </w:r>
    </w:p>
    <w:p>
      <w:pPr>
        <w:numPr>
          <w:ilvl w:val="0"/>
          <w:numId w:val="1001"/>
        </w:numPr>
        <w:pStyle w:val="Compact"/>
      </w:pPr>
      <w:r>
        <w:t xml:space="preserve">პაციენტებს ეუბნებიან, რა გააკეთონ, თუ დახმარება სჭირდებათ ლოდინის დროს, და ვისთან მიმართონ.</w:t>
      </w:r>
    </w:p>
    <w:p>
      <w:pPr>
        <w:numPr>
          <w:ilvl w:val="0"/>
          <w:numId w:val="1001"/>
        </w:numPr>
        <w:pStyle w:val="Compact"/>
      </w:pPr>
      <w:r>
        <w:t xml:space="preserve">მოლოდინის დარბაზში გამეორებითი შემოწმებები ტარდება URG-SOP-002-ის მიხედვით.</w:t>
      </w:r>
    </w:p>
    <w:p>
      <w:pPr>
        <w:numPr>
          <w:ilvl w:val="0"/>
          <w:numId w:val="1001"/>
        </w:numPr>
        <w:pStyle w:val="Compact"/>
      </w:pPr>
      <w:r>
        <w:t xml:space="preserve">შეჩერდით და დაუყოვნებლივ მოითხოვეთ დახმარება, თუ: მომლოდინე პაციენტი ინფორმაციის გარეშე რჩება დადგენილ განახლების დროზე მეტი ხნის განმავლობაში.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ყოველი მომლოდინე პაციენტი იცოდეს, რატომ, რამდენ ხანს და რა გააკეთოს, თუ დახმარება სჭირდება (45.3).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ლოდინი რთულია, და უფრო რთულია, როცა არავინ ეუბნება რატომ. პაციენტებისთვის ლოდინის მიზეზის თქმა და განახლებული შეფასების მიცემა მათ მშვიდად და ინფორმირებულად ტოვებს.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მიღების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ეუბნება თითოეულ მომლოდინე პაციენტს მიზეზსა და შეფასებას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მომსახურების ხელმძღვანელი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ტრიაჟის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ხელახალ შემოწმებებს და გასცემს დახმარების მითითებას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მომსახურების ხელმძღვანელი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ინფორმირება.</w:t>
      </w:r>
    </w:p>
    <w:p>
      <w:pPr>
        <w:numPr>
          <w:ilvl w:val="0"/>
          <w:numId w:val="1004"/>
        </w:numPr>
        <w:pStyle w:val="Compact"/>
      </w:pPr>
      <w:r>
        <w:t xml:space="preserve">მისვლისთანავე უთხარით პაციენტს ლოდინის მიზეზი და შეფასება.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ინფორმირებულია.</w:t>
      </w:r>
    </w:p>
    <w:p>
      <w:pPr>
        <w:pStyle w:val="BodyText"/>
      </w:pPr>
      <w:r>
        <w:t xml:space="preserve">ნაბიჯი 2. განაახლეთ.</w:t>
      </w:r>
    </w:p>
    <w:p>
      <w:pPr>
        <w:numPr>
          <w:ilvl w:val="0"/>
          <w:numId w:val="1005"/>
        </w:numPr>
        <w:pStyle w:val="Compact"/>
      </w:pPr>
      <w:r>
        <w:t xml:space="preserve">როცა ლოდინი იცვლება, მიეცით განახლებული შეფასება და ჩაწერეთ იგი (WTG-FRM-002).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განახლებულია.</w:t>
      </w:r>
    </w:p>
    <w:p>
      <w:pPr>
        <w:pStyle w:val="BodyText"/>
      </w:pPr>
      <w:r>
        <w:t xml:space="preserve">ნაბიჯი 3. დახმარება.</w:t>
      </w:r>
    </w:p>
    <w:p>
      <w:pPr>
        <w:numPr>
          <w:ilvl w:val="0"/>
          <w:numId w:val="1006"/>
        </w:numPr>
        <w:pStyle w:val="Compact"/>
      </w:pPr>
      <w:r>
        <w:t xml:space="preserve">უთხარით პაციენტს, რა გააკეთოს, თუ უარესად გრძნობს თავს, და ვისთან მიმართოს.</w:t>
      </w:r>
    </w:p>
    <w:p>
      <w:pPr>
        <w:numPr>
          <w:ilvl w:val="0"/>
          <w:numId w:val="1006"/>
        </w:numPr>
        <w:pStyle w:val="Compact"/>
      </w:pPr>
      <w:r>
        <w:t xml:space="preserve">ჩაატარეთ ხელახალი შემოწმება URG-SOP-002-ის მიხედვით.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დახმარებულია.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მომლოდინე პაციენტები, რომლებსაც მისვლისას უთხრეს მიზეზი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მიღების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ესკალირება მომსახურების ხელმძღვანელთან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შეფასებები განახლდა, როცა ლოდინი იცვლება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მიღების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ესკალირება მომსახურების ხელმძღვანელთან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WTG-FRM-002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მომლოდინე პაციენტის განახლების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URG-SOP-002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მოლოდინის დარბაზის ხელახალი შემოწმება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SOP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მიღება და ინფორმაცია: პირველი ათი წუთი</w:t>
      </w:r>
      <w:r>
        <w:t xml:space="preserve"> </w:t>
      </w:r>
      <w:r>
        <w:t xml:space="preserve">(H-02)</w:t>
      </w:r>
    </w:p>
    <w:bookmarkEnd w:id="44"/>
    <w:bookmarkStart w:id="47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5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ka/documents/urg-sop-002/" TargetMode="External" /><Relationship Type="http://schemas.openxmlformats.org/officeDocument/2006/relationships/hyperlink" Id="rId39" Target="/ka/documents/wtg-frm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5/" TargetMode="External" /><Relationship Type="http://schemas.openxmlformats.org/officeDocument/2006/relationships/hyperlink" Id="rId23" Target="/ka/standards/standard-45/#c45-3" TargetMode="External" /><Relationship Type="http://schemas.openxmlformats.org/officeDocument/2006/relationships/hyperlink" Id="rId46" Target="https://france-asf.fr/wp-content/uploads/2026/10/wtg-sop-001-form-1.docx" TargetMode="External" /><Relationship Type="http://schemas.openxmlformats.org/officeDocument/2006/relationships/hyperlink" Id="rId45" Target="https://france-asf.fr/wp-content/uploads/2026/10/wtg-sop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ka/documents/urg-sop-002/" TargetMode="External" /><Relationship Type="http://schemas.openxmlformats.org/officeDocument/2006/relationships/hyperlink" Id="rId39" Target="/ka/documents/wtg-frm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5/" TargetMode="External" /><Relationship Type="http://schemas.openxmlformats.org/officeDocument/2006/relationships/hyperlink" Id="rId23" Target="/ka/standards/standard-45/#c45-3" TargetMode="External" /><Relationship Type="http://schemas.openxmlformats.org/officeDocument/2006/relationships/hyperlink" Id="rId46" Target="https://france-asf.fr/wp-content/uploads/2026/10/wtg-sop-001-form-1.docx" TargetMode="External" /><Relationship Type="http://schemas.openxmlformats.org/officeDocument/2006/relationships/hyperlink" Id="rId45" Target="https://france-asf.fr/wp-content/uploads/2026/10/wtg-sop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2026-11-07T01:23:04Z</dcterms:created>
  <dcterms:modified xsi:type="dcterms:W3CDTF">2026-11-07T01:23:04Z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