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before="200"/>
        <w:jc w:val="center"/>
      </w:pPr>
      <w:r>
        <w:drawing>
          <wp:inline distT="0" distB="0" distL="0" distR="0">
            <wp:extent cx="952500" cy="885825"/>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952500" cy="885825"/>
                    </a:xfrm>
                    <a:prstGeom prst="rect">
                      <a:avLst/>
                    </a:prstGeom>
                  </pic:spPr>
                </pic:pic>
              </a:graphicData>
            </a:graphic>
          </wp:inline>
        </w:drawing>
      </w:r>
    </w:p>
    <w:p>
      <w:pPr>
        <w:spacing w:after="60" w:before="0"/>
        <w:jc w:val="center"/>
      </w:pPr>
      <w:r>
        <w:rPr>
          <w:b/>
          <w:bCs/>
          <w:color w:val="C9A227"/>
          <w:spacing w:val="20"/>
          <w:sz w:val="20"/>
          <w:szCs w:val="20"/>
        </w:rPr>
        <w:t xml:space="preserve">ACCRÉDITATION SANS FRONTIÈRES</w:t>
      </w:r>
    </w:p>
    <w:p>
      <w:pPr>
        <w:pStyle w:val="Title"/>
        <w:spacing w:after="120" w:before="0"/>
        <w:jc w:val="center"/>
      </w:pPr>
      <w:r>
        <w:rPr>
          <w:b/>
          <w:bCs/>
          <w:color w:val="0E2647"/>
          <w:sz w:val="38"/>
          <w:szCs w:val="38"/>
        </w:rPr>
        <w:t xml:space="preserve">Records &amp; Forms Index</w:t>
      </w:r>
    </w:p>
    <w:p>
      <w:pPr>
        <w:spacing w:after="100" w:before="0"/>
        <w:jc w:val="center"/>
      </w:pPr>
      <w:r>
        <w:rPr>
          <w:i/>
          <w:iCs/>
          <w:color w:val="6B778C"/>
          <w:sz w:val="21"/>
          <w:szCs w:val="21"/>
        </w:rPr>
        <w:t xml:space="preserve">ASF ISO 9001 Ready — Tier 8 Governing Reference</w:t>
      </w:r>
    </w:p>
    <w:p>
      <w:pPr>
        <w:spacing w:after="0" w:before="260"/>
        <w:jc w:val="center"/>
      </w:pPr>
      <w:r>
        <w:rPr>
          <w:b/>
          <w:bCs/>
          <w:color w:val="0E2647"/>
          <w:sz w:val="19"/>
          <w:szCs w:val="19"/>
        </w:rPr>
        <w:t xml:space="preserve">Ambulatory Clinic Pack · Version 1</w:t>
      </w:r>
    </w:p>
    <w:p>
      <w:r>
        <w:br w:type="page"/>
      </w:r>
    </w:p>
    <w:p>
      <w:pPr>
        <w:pStyle w:val="Heading1"/>
        <w:spacing w:after="140" w:before="280"/>
      </w:pPr>
      <w:r>
        <w:rPr>
          <w:b/>
          <w:bCs/>
          <w:color w:val="0E2647"/>
          <w:sz w:val="26"/>
          <w:szCs w:val="26"/>
        </w:rPr>
        <w:t xml:space="preserve">Document Control</w:t>
      </w: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100"/>
              <w:left w:type="dxa" w:w="150"/>
              <w:bottom w:type="dxa" w:w="100"/>
              <w:right w:type="dxa" w:w="100"/>
            </w:tcMar>
            <w:vAlign w:val="center"/>
          </w:tcPr>
          <w:p>
            <w:r>
              <w:rPr>
                <w:b/>
                <w:bCs/>
                <w:color w:val="0E2647"/>
                <w:sz w:val="18"/>
                <w:szCs w:val="18"/>
              </w:rPr>
              <w:t xml:space="preserve">Document Title</w:t>
            </w:r>
          </w:p>
        </w:tc>
        <w:tc>
          <w:tcPr>
            <w:tcW w:type="dxa" w:w="6100"/>
            <w:tcMar>
              <w:top w:type="dxa" w:w="100"/>
              <w:left w:type="dxa" w:w="150"/>
              <w:bottom w:type="dxa" w:w="100"/>
              <w:right w:type="dxa" w:w="100"/>
            </w:tcMar>
            <w:vAlign w:val="center"/>
          </w:tcPr>
          <w:p>
            <w:r>
              <w:rPr>
                <w:color w:val="1A1A1A"/>
                <w:sz w:val="18"/>
                <w:szCs w:val="18"/>
              </w:rPr>
              <w:t xml:space="preserve">Records &amp; Forms Index</w:t>
            </w:r>
          </w:p>
        </w:tc>
      </w:tr>
      <w:tr>
        <w:tc>
          <w:tcPr>
            <w:tcW w:type="dxa" w:w="2800"/>
            <w:shd w:fill="F2F4F7" w:val="clear"/>
            <w:tcMar>
              <w:top w:type="dxa" w:w="100"/>
              <w:left w:type="dxa" w:w="150"/>
              <w:bottom w:type="dxa" w:w="100"/>
              <w:right w:type="dxa" w:w="100"/>
            </w:tcMar>
            <w:vAlign w:val="center"/>
          </w:tcPr>
          <w:p>
            <w:r>
              <w:rPr>
                <w:b/>
                <w:bCs/>
                <w:color w:val="0E2647"/>
                <w:sz w:val="18"/>
                <w:szCs w:val="18"/>
              </w:rPr>
              <w:t xml:space="preserve">Document Reference</w:t>
            </w:r>
          </w:p>
        </w:tc>
        <w:tc>
          <w:tcPr>
            <w:tcW w:type="dxa" w:w="6100"/>
            <w:tcMar>
              <w:top w:type="dxa" w:w="100"/>
              <w:left w:type="dxa" w:w="150"/>
              <w:bottom w:type="dxa" w:w="100"/>
              <w:right w:type="dxa" w:w="100"/>
            </w:tcMar>
            <w:vAlign w:val="center"/>
          </w:tcPr>
          <w:p>
            <w:r>
              <w:rPr>
                <w:color w:val="1A1A1A"/>
                <w:sz w:val="18"/>
                <w:szCs w:val="18"/>
              </w:rPr>
              <w:t xml:space="preserve">TIER8-INDEX-001-v1</w:t>
            </w:r>
          </w:p>
        </w:tc>
      </w:tr>
      <w:tr>
        <w:tc>
          <w:tcPr>
            <w:tcW w:type="dxa" w:w="2800"/>
            <w:shd w:fill="F2F4F7" w:val="clear"/>
            <w:tcMar>
              <w:top w:type="dxa" w:w="100"/>
              <w:left w:type="dxa" w:w="150"/>
              <w:bottom w:type="dxa" w:w="100"/>
              <w:right w:type="dxa" w:w="100"/>
            </w:tcMar>
            <w:vAlign w:val="center"/>
          </w:tcPr>
          <w:p>
            <w:r>
              <w:rPr>
                <w:b/>
                <w:bCs/>
                <w:color w:val="0E2647"/>
                <w:sz w:val="18"/>
                <w:szCs w:val="18"/>
              </w:rPr>
              <w:t xml:space="preserve">Status</w:t>
            </w:r>
          </w:p>
        </w:tc>
        <w:tc>
          <w:tcPr>
            <w:tcW w:type="dxa" w:w="6100"/>
            <w:tcMar>
              <w:top w:type="dxa" w:w="100"/>
              <w:left w:type="dxa" w:w="150"/>
              <w:bottom w:type="dxa" w:w="100"/>
              <w:right w:type="dxa" w:w="100"/>
            </w:tcMar>
            <w:vAlign w:val="center"/>
          </w:tcPr>
          <w:p>
            <w:r>
              <w:rPr>
                <w:color w:val="1A1A1A"/>
                <w:sz w:val="18"/>
                <w:szCs w:val="18"/>
              </w:rPr>
              <w:t xml:space="preserve">Published</w:t>
            </w:r>
          </w:p>
        </w:tc>
      </w:tr>
      <w:tr>
        <w:tc>
          <w:tcPr>
            <w:tcW w:type="dxa" w:w="2800"/>
            <w:shd w:fill="F2F4F7" w:val="clear"/>
            <w:tcMar>
              <w:top w:type="dxa" w:w="100"/>
              <w:left w:type="dxa" w:w="150"/>
              <w:bottom w:type="dxa" w:w="100"/>
              <w:right w:type="dxa" w:w="100"/>
            </w:tcMar>
            <w:vAlign w:val="center"/>
          </w:tcPr>
          <w:p>
            <w:r>
              <w:rPr>
                <w:b/>
                <w:bCs/>
                <w:color w:val="0E2647"/>
                <w:sz w:val="18"/>
                <w:szCs w:val="18"/>
              </w:rPr>
              <w:t xml:space="preserve">Organization</w:t>
            </w:r>
          </w:p>
        </w:tc>
        <w:tc>
          <w:tcPr>
            <w:tcW w:type="dxa" w:w="6100"/>
            <w:tcMar>
              <w:top w:type="dxa" w:w="100"/>
              <w:left w:type="dxa" w:w="150"/>
              <w:bottom w:type="dxa" w:w="100"/>
              <w:right w:type="dxa" w:w="100"/>
            </w:tcMar>
            <w:vAlign w:val="center"/>
          </w:tcPr>
          <w:p>
            <w:r>
              <w:rPr>
                <w:color w:val="1A1A1A"/>
                <w:sz w:val="18"/>
                <w:szCs w:val="18"/>
              </w:rPr>
              <w:t xml:space="preserve">[ORGANIZATION NAME], Georgia</w:t>
            </w:r>
          </w:p>
        </w:tc>
      </w:tr>
      <w:tr>
        <w:tc>
          <w:tcPr>
            <w:tcW w:type="dxa" w:w="2800"/>
            <w:shd w:fill="F2F4F7" w:val="clear"/>
            <w:tcMar>
              <w:top w:type="dxa" w:w="100"/>
              <w:left w:type="dxa" w:w="150"/>
              <w:bottom w:type="dxa" w:w="100"/>
              <w:right w:type="dxa" w:w="100"/>
            </w:tcMar>
            <w:vAlign w:val="center"/>
          </w:tcPr>
          <w:p>
            <w:r>
              <w:rPr>
                <w:b/>
                <w:bCs/>
                <w:color w:val="0E2647"/>
                <w:sz w:val="18"/>
                <w:szCs w:val="18"/>
              </w:rPr>
              <w:t xml:space="preserve">Effective Date</w:t>
            </w:r>
          </w:p>
        </w:tc>
        <w:tc>
          <w:tcPr>
            <w:tcW w:type="dxa" w:w="6100"/>
            <w:tcMar>
              <w:top w:type="dxa" w:w="100"/>
              <w:left w:type="dxa" w:w="150"/>
              <w:bottom w:type="dxa" w:w="100"/>
              <w:right w:type="dxa" w:w="100"/>
            </w:tcMar>
            <w:vAlign w:val="center"/>
          </w:tcPr>
          <w:p>
            <w:r>
              <w:rPr>
                <w:color w:val="1A1A1A"/>
                <w:sz w:val="18"/>
                <w:szCs w:val="18"/>
              </w:rPr>
              <w:t xml:space="preserve">[EFFECTIVE DATE]</w:t>
            </w:r>
          </w:p>
        </w:tc>
      </w:tr>
      <w:tr>
        <w:tc>
          <w:tcPr>
            <w:tcW w:type="dxa" w:w="2800"/>
            <w:shd w:fill="F2F4F7" w:val="clear"/>
            <w:tcMar>
              <w:top w:type="dxa" w:w="100"/>
              <w:left w:type="dxa" w:w="150"/>
              <w:bottom w:type="dxa" w:w="100"/>
              <w:right w:type="dxa" w:w="100"/>
            </w:tcMar>
            <w:vAlign w:val="center"/>
          </w:tcPr>
          <w:p>
            <w:r>
              <w:rPr>
                <w:b/>
                <w:bCs/>
                <w:color w:val="0E2647"/>
                <w:sz w:val="18"/>
                <w:szCs w:val="18"/>
              </w:rPr>
              <w:t xml:space="preserve">Next Review Date</w:t>
            </w:r>
          </w:p>
        </w:tc>
        <w:tc>
          <w:tcPr>
            <w:tcW w:type="dxa" w:w="6100"/>
            <w:tcMar>
              <w:top w:type="dxa" w:w="100"/>
              <w:left w:type="dxa" w:w="150"/>
              <w:bottom w:type="dxa" w:w="100"/>
              <w:right w:type="dxa" w:w="100"/>
            </w:tcMar>
            <w:vAlign w:val="center"/>
          </w:tcPr>
          <w:p>
            <w:r>
              <w:rPr>
                <w:color w:val="1A1A1A"/>
                <w:sz w:val="18"/>
                <w:szCs w:val="18"/>
              </w:rPr>
              <w:t xml:space="preserve">[NEXT REVIEW DATE]</w:t>
            </w:r>
          </w:p>
        </w:tc>
      </w:tr>
      <w:tr>
        <w:tc>
          <w:tcPr>
            <w:tcW w:type="dxa" w:w="2800"/>
            <w:shd w:fill="F2F4F7" w:val="clear"/>
            <w:tcMar>
              <w:top w:type="dxa" w:w="100"/>
              <w:left w:type="dxa" w:w="150"/>
              <w:bottom w:type="dxa" w:w="100"/>
              <w:right w:type="dxa" w:w="100"/>
            </w:tcMar>
            <w:vAlign w:val="center"/>
          </w:tcPr>
          <w:p>
            <w:r>
              <w:rPr>
                <w:b/>
                <w:bCs/>
                <w:color w:val="0E2647"/>
                <w:sz w:val="18"/>
                <w:szCs w:val="18"/>
              </w:rPr>
              <w:t xml:space="preserve">Language Pair</w:t>
            </w:r>
          </w:p>
        </w:tc>
        <w:tc>
          <w:tcPr>
            <w:tcW w:type="dxa" w:w="6100"/>
            <w:tcMar>
              <w:top w:type="dxa" w:w="100"/>
              <w:left w:type="dxa" w:w="150"/>
              <w:bottom w:type="dxa" w:w="100"/>
              <w:right w:type="dxa" w:w="100"/>
            </w:tcMar>
            <w:vAlign w:val="center"/>
          </w:tcPr>
          <w:p>
            <w:r>
              <w:rPr>
                <w:color w:val="1A1A1A"/>
                <w:sz w:val="18"/>
                <w:szCs w:val="18"/>
              </w:rPr>
              <w:t xml:space="preserve">Full parallel version of TIER8-INDEX-001-KA — same content, not a summary</w:t>
            </w:r>
          </w:p>
        </w:tc>
      </w:tr>
    </w:tbl>
    <w:p>
      <w:pPr>
        <w:pBdr>
          <w:bottom w:val="single" w:color="D8DEE8" w:sz="6"/>
        </w:pBdr>
        <w:spacing w:after="200" w:before="60"/>
      </w:pPr>
    </w:p>
    <w:p>
      <w:pPr>
        <w:pStyle w:val="Heading1"/>
        <w:spacing w:after="140" w:before="280"/>
      </w:pPr>
      <w:r>
        <w:rPr>
          <w:b/>
          <w:bCs/>
          <w:color w:val="0E2647"/>
          <w:sz w:val="26"/>
          <w:szCs w:val="26"/>
        </w:rPr>
        <w:t xml:space="preserve">Table of Contents</w:t>
      </w:r>
    </w:p>
    <w:p>
      <w:pPr>
        <w:spacing w:after="120" w:line="264"/>
      </w:pPr>
      <w:r>
        <w:rPr>
          <w:sz w:val="20"/>
          <w:szCs w:val="20"/>
        </w:rPr>
        <w:t xml:space="preserve">1. Purpose · 2. Scope · 3. Definitions and Abbreviations</w:t>
      </w:r>
    </w:p>
    <w:p>
      <w:pPr>
        <w:spacing w:after="120" w:line="264"/>
      </w:pPr>
      <w:r>
        <w:rPr>
          <w:sz w:val="20"/>
          <w:szCs w:val="20"/>
        </w:rPr>
        <w:t xml:space="preserve">4. Documents vs. Records — A Real Distinction · 5. Retention Principles</w:t>
      </w:r>
    </w:p>
    <w:p>
      <w:pPr>
        <w:spacing w:after="120" w:line="264"/>
      </w:pPr>
      <w:r>
        <w:rPr>
          <w:sz w:val="20"/>
          <w:szCs w:val="20"/>
        </w:rPr>
        <w:t xml:space="preserve">6. The Records &amp; Forms Index · 7. Disposition</w:t>
      </w:r>
    </w:p>
    <w:p>
      <w:pPr>
        <w:spacing w:after="120" w:line="264"/>
      </w:pPr>
      <w:r>
        <w:rPr>
          <w:sz w:val="20"/>
          <w:szCs w:val="20"/>
        </w:rPr>
        <w:t xml:space="preserve">8. Governance of This Index · References</w:t>
      </w:r>
    </w:p>
    <w:p>
      <w:r>
        <w:br w:type="page"/>
      </w:r>
    </w:p>
    <w:p>
      <w:pPr>
        <w:pStyle w:val="Heading1"/>
        <w:spacing w:after="140" w:before="280"/>
      </w:pPr>
      <w:r>
        <w:rPr>
          <w:b/>
          <w:bCs/>
          <w:color w:val="0E2647"/>
          <w:sz w:val="26"/>
          <w:szCs w:val="26"/>
        </w:rPr>
        <w:t xml:space="preserve">1. Purpose</w:t>
      </w:r>
    </w:p>
    <w:p>
      <w:pPr>
        <w:spacing w:after="120" w:line="264"/>
      </w:pPr>
      <w:r>
        <w:rPr>
          <w:sz w:val="20"/>
          <w:szCs w:val="20"/>
        </w:rPr>
        <w:t xml:space="preserve">To provide the single, authoritative index of every record and form generated across [ORGANIZATION NAME]'s ISO 9001 Ready documentation, with its retention period and disposition rule, consistent with ISO 9001:2015 Clause 7.5.3 [1–2].</w:t>
      </w:r>
    </w:p>
    <w:p>
      <w:pPr>
        <w:pStyle w:val="Heading1"/>
        <w:spacing w:after="140" w:before="280"/>
      </w:pPr>
      <w:r>
        <w:rPr>
          <w:b/>
          <w:bCs/>
          <w:color w:val="0E2647"/>
          <w:sz w:val="26"/>
          <w:szCs w:val="26"/>
        </w:rPr>
        <w:t xml:space="preserve">2. Scope</w:t>
      </w:r>
    </w:p>
    <w:p>
      <w:pPr>
        <w:spacing w:after="120" w:line="264"/>
      </w:pPr>
      <w:r>
        <w:rPr>
          <w:sz w:val="20"/>
          <w:szCs w:val="20"/>
        </w:rPr>
        <w:t xml:space="preserve">This index covers every record referenced by name across Tiers 1–7 of [ORGANIZATION NAME]'s ISO 9001 Ready pack. It does not replace any individual SOP's own instructions on how a record is completed — it governs how long each record is kept and how it is disposed of.</w:t>
      </w:r>
    </w:p>
    <w:p>
      <w:pPr>
        <w:pStyle w:val="Heading1"/>
        <w:spacing w:after="140" w:before="280"/>
      </w:pPr>
      <w:r>
        <w:rPr>
          <w:b/>
          <w:bCs/>
          <w:color w:val="0E2647"/>
          <w:sz w:val="26"/>
          <w:szCs w:val="26"/>
        </w:rPr>
        <w:t xml:space="preserve">3. Definitions and Abbreviations</w:t>
      </w:r>
    </w:p>
    <w:p>
      <w:pPr>
        <w:spacing w:after="80" w:line="250"/>
        <w:ind w:left="260" w:hanging="180"/>
      </w:pPr>
      <w:r>
        <w:rPr>
          <w:sz w:val="19"/>
          <w:szCs w:val="19"/>
        </w:rPr>
        <w:t xml:space="preserve">•  Record — documented information providing objective evidence of an activity performed or a result achieved, distinct from a controlled document (procedure) [3–4]</w:t>
      </w:r>
    </w:p>
    <w:p>
      <w:pPr>
        <w:spacing w:after="80" w:line="250"/>
        <w:ind w:left="260" w:hanging="180"/>
      </w:pPr>
      <w:r>
        <w:rPr>
          <w:sz w:val="19"/>
          <w:szCs w:val="19"/>
        </w:rPr>
        <w:t xml:space="preserve">•  Disposition — the defined action taken once a record's retention period ends: secure destruction, archival, or transfer [4–5]</w:t>
      </w:r>
    </w:p>
    <w:p>
      <w:pPr>
        <w:pStyle w:val="Heading1"/>
        <w:spacing w:after="140" w:before="280"/>
      </w:pPr>
      <w:r>
        <w:rPr>
          <w:b/>
          <w:bCs/>
          <w:color w:val="0E2647"/>
          <w:sz w:val="26"/>
          <w:szCs w:val="26"/>
        </w:rPr>
        <w:t xml:space="preserve">4. Documents vs. Records — A Real Distinction</w:t>
      </w:r>
    </w:p>
    <w:p>
      <w:pPr>
        <w:spacing w:after="120" w:line="264"/>
      </w:pPr>
      <w:r>
        <w:rPr>
          <w:sz w:val="20"/>
          <w:szCs w:val="20"/>
        </w:rPr>
        <w:t xml:space="preserve">A document (this clinic's procedures) and a record (evidence that a procedure was actually followed) are governed by genuinely different rules, and treating them the same way is a real, common error [3]. A document needs version control and approval before use — it changes over time as the clinic's practice evolves. A record needs identification, protection, a defined retention period, and a clear disposition rule — it must never be edited or “versioned” after the fact, since a record's entire value is that it reflects exactly what happened at the time [3].</w:t>
      </w:r>
    </w:p>
    <w:p>
      <w:pPr>
        <w:pBdr>
          <w:left w:val="single" w:color="C9A227" w:sz="16" w:space="10"/>
        </w:pBdr>
        <w:shd w:fill="FFF8E7" w:val="clear"/>
        <w:spacing w:after="180" w:before="120"/>
      </w:pPr>
      <w:r>
        <w:rPr>
          <w:i/>
          <w:iCs/>
          <w:color w:val="5C4A0A"/>
          <w:sz w:val="19"/>
          <w:szCs w:val="19"/>
        </w:rPr>
        <w:t xml:space="preserve">Applying document control to a record — editing an old entry to correct it retroactively — is exactly what must not happen. A record that needs correction is corrected through a new, dated entry or an addendum, never by altering the original [3].</w:t>
      </w:r>
    </w:p>
    <w:p>
      <w:pPr>
        <w:pStyle w:val="Heading1"/>
        <w:spacing w:after="140" w:before="280"/>
      </w:pPr>
      <w:r>
        <w:rPr>
          <w:b/>
          <w:bCs/>
          <w:color w:val="0E2647"/>
          <w:sz w:val="26"/>
          <w:szCs w:val="26"/>
        </w:rPr>
        <w:t xml:space="preserve">5. Retention Principles</w:t>
      </w:r>
    </w:p>
    <w:p>
      <w:pPr>
        <w:spacing w:after="120" w:line="264"/>
      </w:pPr>
      <w:r>
        <w:rPr>
          <w:sz w:val="20"/>
          <w:szCs w:val="20"/>
        </w:rPr>
        <w:t xml:space="preserve">ISO 9001 sets a real floor of at least 3 years for general quality management records, but this is a floor, not a ceiling — the real, binding retention period for any specific record is the LONGEST of: the ISO 9001 floor, any applicable Georgian legal or regulatory requirement, and any specific retention period already established in that record's own governing SOP (e.g., the Digital Data Logger download records under PED-04, which carry a specific 3-year minimum) [4–5].</w:t>
      </w:r>
    </w:p>
    <w:p>
      <w:pPr>
        <w:pBdr>
          <w:left w:val="single" w:color="C9A227" w:sz="16" w:space="10"/>
        </w:pBdr>
        <w:shd w:fill="FFF8E7" w:val="clear"/>
        <w:spacing w:after="180" w:before="120"/>
      </w:pPr>
      <w:r>
        <w:rPr>
          <w:i/>
          <w:iCs/>
          <w:color w:val="5C4A0A"/>
          <w:sz w:val="19"/>
          <w:szCs w:val="19"/>
        </w:rPr>
        <w:t xml:space="preserve">Where a specific SOP already states a retention period for one of its records, that period governs — this index compiles those existing commitments into one place rather than overriding them [5].</w:t>
      </w:r>
    </w:p>
    <w:p>
      <w:r>
        <w:br w:type="page"/>
      </w:r>
    </w:p>
    <w:p>
      <w:pPr>
        <w:pStyle w:val="Heading1"/>
        <w:spacing w:after="140" w:before="280"/>
      </w:pPr>
      <w:r>
        <w:rPr>
          <w:b/>
          <w:bCs/>
          <w:color w:val="0E2647"/>
          <w:sz w:val="26"/>
          <w:szCs w:val="26"/>
        </w:rPr>
        <w:t xml:space="preserve">6. The Records &amp; Forms Index</w:t>
      </w:r>
    </w:p>
    <w:p>
      <w:pPr>
        <w:spacing w:after="120" w:line="264"/>
      </w:pPr>
      <w:r>
        <w:rPr>
          <w:sz w:val="20"/>
          <w:szCs w:val="20"/>
        </w:rPr>
        <w:t xml:space="preserve">Every record below is organized by the Tier and SOP that generates it.</w:t>
      </w: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3200"/>
        <w:gridCol w:w="1800"/>
        <w:gridCol w:w="1600"/>
        <w:gridCol w:w="2300"/>
      </w:tblGrid>
      <w:tr>
        <w:tc>
          <w:tcPr>
            <w:shd w:fill="0E2647" w:val="clear"/>
            <w:tcMar>
              <w:top w:type="dxa" w:w="90"/>
              <w:left w:type="dxa" w:w="110"/>
              <w:bottom w:type="dxa" w:w="90"/>
              <w:right w:type="dxa" w:w="90"/>
            </w:tcMar>
          </w:tcPr>
          <w:p>
            <w:r>
              <w:rPr>
                <w:b/>
                <w:bCs/>
                <w:color w:val="FFFFFF"/>
                <w:sz w:val="14"/>
                <w:szCs w:val="14"/>
              </w:rPr>
              <w:t xml:space="preserve">Record</w:t>
            </w:r>
          </w:p>
        </w:tc>
        <w:tc>
          <w:tcPr>
            <w:shd w:fill="0E2647" w:val="clear"/>
            <w:tcMar>
              <w:top w:type="dxa" w:w="90"/>
              <w:left w:type="dxa" w:w="110"/>
              <w:bottom w:type="dxa" w:w="90"/>
              <w:right w:type="dxa" w:w="90"/>
            </w:tcMar>
          </w:tcPr>
          <w:p>
            <w:r>
              <w:rPr>
                <w:b/>
                <w:bCs/>
                <w:color w:val="FFFFFF"/>
                <w:sz w:val="14"/>
                <w:szCs w:val="14"/>
              </w:rPr>
              <w:t xml:space="preserve">Owning SOP</w:t>
            </w:r>
          </w:p>
        </w:tc>
        <w:tc>
          <w:tcPr>
            <w:shd w:fill="0E2647" w:val="clear"/>
            <w:tcMar>
              <w:top w:type="dxa" w:w="90"/>
              <w:left w:type="dxa" w:w="110"/>
              <w:bottom w:type="dxa" w:w="90"/>
              <w:right w:type="dxa" w:w="90"/>
            </w:tcMar>
          </w:tcPr>
          <w:p>
            <w:r>
              <w:rPr>
                <w:b/>
                <w:bCs/>
                <w:color w:val="FFFFFF"/>
                <w:sz w:val="14"/>
                <w:szCs w:val="14"/>
              </w:rPr>
              <w:t xml:space="preserve">Retention</w:t>
            </w:r>
          </w:p>
        </w:tc>
        <w:tc>
          <w:tcPr>
            <w:shd w:fill="0E2647" w:val="clear"/>
            <w:tcMar>
              <w:top w:type="dxa" w:w="90"/>
              <w:left w:type="dxa" w:w="110"/>
              <w:bottom w:type="dxa" w:w="90"/>
              <w:right w:type="dxa" w:w="90"/>
            </w:tcMar>
          </w:tcPr>
          <w:p>
            <w:r>
              <w:rPr>
                <w:b/>
                <w:bCs/>
                <w:color w:val="FFFFFF"/>
                <w:sz w:val="14"/>
                <w:szCs w:val="14"/>
              </w:rPr>
              <w:t xml:space="preserve">Disposition</w:t>
            </w:r>
          </w:p>
        </w:tc>
      </w:tr>
      <w:tr>
        <w:tc>
          <w:tcPr>
            <w:gridSpan w:val="4"/>
            <w:shd w:fill="E8EDF5" w:val="clear"/>
            <w:tcMar>
              <w:top w:type="dxa" w:w="70"/>
              <w:left w:type="dxa" w:w="110"/>
              <w:bottom w:type="dxa" w:w="70"/>
              <w:right w:type="dxa" w:w="90"/>
            </w:tcMar>
          </w:tcPr>
          <w:p>
            <w:r>
              <w:rPr>
                <w:b/>
                <w:bCs/>
                <w:color w:val="0E2647"/>
                <w:sz w:val="14"/>
                <w:szCs w:val="14"/>
              </w:rPr>
              <w:t xml:space="preserve">TIER 2 — GOVERNANCE</w:t>
            </w:r>
          </w:p>
        </w:tc>
      </w:tr>
      <w:tr>
        <w:tc>
          <w:tcPr>
            <w:tcW w:type="dxa" w:w="3200"/>
            <w:tcMar>
              <w:top w:type="dxa" w:w="80"/>
              <w:left w:type="dxa" w:w="110"/>
              <w:bottom w:type="dxa" w:w="80"/>
              <w:right w:type="dxa" w:w="90"/>
            </w:tcMar>
            <w:vAlign w:val="center"/>
          </w:tcPr>
          <w:p>
            <w:r>
              <w:rPr>
                <w:b/>
                <w:bCs/>
                <w:sz w:val="14"/>
                <w:szCs w:val="14"/>
              </w:rPr>
              <w:t xml:space="preserve">Incident Log</w:t>
            </w:r>
          </w:p>
        </w:tc>
        <w:tc>
          <w:tcPr>
            <w:tcW w:type="dxa" w:w="1800"/>
            <w:tcMar>
              <w:top w:type="dxa" w:w="80"/>
              <w:left w:type="dxa" w:w="110"/>
              <w:bottom w:type="dxa" w:w="80"/>
              <w:right w:type="dxa" w:w="90"/>
            </w:tcMar>
            <w:vAlign w:val="center"/>
          </w:tcPr>
          <w:p>
            <w:r>
              <w:rPr>
                <w:color w:val="0E2647"/>
                <w:sz w:val="13"/>
                <w:szCs w:val="13"/>
              </w:rPr>
              <w:t xml:space="preserve">SOP-PS-02</w:t>
            </w:r>
          </w:p>
        </w:tc>
        <w:tc>
          <w:tcPr>
            <w:tcW w:type="dxa" w:w="1600"/>
            <w:tcMar>
              <w:top w:type="dxa" w:w="80"/>
              <w:left w:type="dxa" w:w="110"/>
              <w:bottom w:type="dxa" w:w="80"/>
              <w:right w:type="dxa" w:w="90"/>
            </w:tcMar>
            <w:vAlign w:val="center"/>
          </w:tcPr>
          <w:p>
            <w:r>
              <w:rPr>
                <w:b/>
                <w:bCs/>
                <w:sz w:val="13"/>
                <w:szCs w:val="13"/>
              </w:rPr>
              <w:t xml:space="preserve">3 yrs min</w:t>
            </w:r>
          </w:p>
        </w:tc>
        <w:tc>
          <w:tcPr>
            <w:tcW w:type="dxa" w:w="2300"/>
            <w:tcMar>
              <w:top w:type="dxa" w:w="80"/>
              <w:left w:type="dxa" w:w="110"/>
              <w:bottom w:type="dxa" w:w="80"/>
              <w:right w:type="dxa" w:w="90"/>
            </w:tcMar>
            <w:vAlign w:val="center"/>
          </w:tcPr>
          <w:p>
            <w:r>
              <w:rPr>
                <w:sz w:val="12"/>
                <w:szCs w:val="12"/>
              </w:rPr>
              <w:t xml:space="preserve">Secure archival, then destruction; sentinel-event records retained longer per Director decision</w:t>
            </w:r>
          </w:p>
        </w:tc>
      </w:tr>
      <w:tr>
        <w:tc>
          <w:tcPr>
            <w:tcW w:type="dxa" w:w="3200"/>
            <w:tcMar>
              <w:top w:type="dxa" w:w="80"/>
              <w:left w:type="dxa" w:w="110"/>
              <w:bottom w:type="dxa" w:w="80"/>
              <w:right w:type="dxa" w:w="90"/>
            </w:tcMar>
            <w:vAlign w:val="center"/>
          </w:tcPr>
          <w:p>
            <w:r>
              <w:rPr>
                <w:b/>
                <w:bCs/>
                <w:sz w:val="14"/>
                <w:szCs w:val="14"/>
              </w:rPr>
              <w:t xml:space="preserve">Nonconformity/CAPA Log</w:t>
            </w:r>
          </w:p>
        </w:tc>
        <w:tc>
          <w:tcPr>
            <w:tcW w:type="dxa" w:w="1800"/>
            <w:tcMar>
              <w:top w:type="dxa" w:w="80"/>
              <w:left w:type="dxa" w:w="110"/>
              <w:bottom w:type="dxa" w:w="80"/>
              <w:right w:type="dxa" w:w="90"/>
            </w:tcMar>
            <w:vAlign w:val="center"/>
          </w:tcPr>
          <w:p>
            <w:r>
              <w:rPr>
                <w:color w:val="0E2647"/>
                <w:sz w:val="13"/>
                <w:szCs w:val="13"/>
              </w:rPr>
              <w:t>GOV-01</w:t>
            </w:r>
          </w:p>
        </w:tc>
        <w:tc>
          <w:tcPr>
            <w:tcW w:type="dxa" w:w="1600"/>
            <w:tcMar>
              <w:top w:type="dxa" w:w="80"/>
              <w:left w:type="dxa" w:w="110"/>
              <w:bottom w:type="dxa" w:w="80"/>
              <w:right w:type="dxa" w:w="90"/>
            </w:tcMar>
            <w:vAlign w:val="center"/>
          </w:tcPr>
          <w:p>
            <w:r>
              <w:rPr>
                <w:b/>
                <w:bCs/>
                <w:sz w:val="13"/>
                <w:szCs w:val="13"/>
              </w:rPr>
              <w:t xml:space="preserve">3 yrs min</w:t>
            </w:r>
          </w:p>
        </w:tc>
        <w:tc>
          <w:tcPr>
            <w:tcW w:type="dxa" w:w="2300"/>
            <w:tcMar>
              <w:top w:type="dxa" w:w="80"/>
              <w:left w:type="dxa" w:w="110"/>
              <w:bottom w:type="dxa" w:w="80"/>
              <w:right w:type="dxa" w:w="90"/>
            </w:tcMar>
            <w:vAlign w:val="center"/>
          </w:tcPr>
          <w:p>
            <w:r>
              <w:rPr>
                <w:sz w:val="12"/>
                <w:szCs w:val="12"/>
              </w:rPr>
              <w:t xml:space="preserve">Secure archival, then destruction</w:t>
            </w:r>
          </w:p>
        </w:tc>
      </w:tr>
      <w:tr>
        <w:tc>
          <w:tcPr>
            <w:gridSpan w:val="4"/>
            <w:shd w:fill="E8EDF5" w:val="clear"/>
            <w:tcMar>
              <w:top w:type="dxa" w:w="70"/>
              <w:left w:type="dxa" w:w="110"/>
              <w:bottom w:type="dxa" w:w="70"/>
              <w:right w:type="dxa" w:w="90"/>
            </w:tcMar>
          </w:tcPr>
          <w:p>
            <w:r>
              <w:rPr>
                <w:b/>
                <w:bCs/>
                <w:color w:val="0E2647"/>
                <w:sz w:val="14"/>
                <w:szCs w:val="14"/>
              </w:rPr>
              <w:t xml:space="preserve">TIER 3 — GENERAL CLINICAL</w:t>
            </w:r>
          </w:p>
        </w:tc>
      </w:tr>
      <w:tr>
        <w:tc>
          <w:tcPr>
            <w:tcW w:type="dxa" w:w="3200"/>
            <w:tcMar>
              <w:top w:type="dxa" w:w="80"/>
              <w:left w:type="dxa" w:w="110"/>
              <w:bottom w:type="dxa" w:w="80"/>
              <w:right w:type="dxa" w:w="90"/>
            </w:tcMar>
            <w:vAlign w:val="center"/>
          </w:tcPr>
          <w:p>
            <w:r>
              <w:rPr>
                <w:b/>
                <w:bCs/>
                <w:sz w:val="14"/>
                <w:szCs w:val="14"/>
              </w:rPr>
              <w:t xml:space="preserve">Environmental Cleaning Log</w:t>
            </w:r>
          </w:p>
        </w:tc>
        <w:tc>
          <w:tcPr>
            <w:tcW w:type="dxa" w:w="1800"/>
            <w:tcMar>
              <w:top w:type="dxa" w:w="80"/>
              <w:left w:type="dxa" w:w="110"/>
              <w:bottom w:type="dxa" w:w="80"/>
              <w:right w:type="dxa" w:w="90"/>
            </w:tcMar>
            <w:vAlign w:val="center"/>
          </w:tcPr>
          <w:p>
            <w:r>
              <w:rPr>
                <w:color w:val="0E2647"/>
                <w:sz w:val="13"/>
                <w:szCs w:val="13"/>
              </w:rPr>
              <w:t xml:space="preserve">SOP-IPC-01</w:t>
            </w:r>
          </w:p>
        </w:tc>
        <w:tc>
          <w:tcPr>
            <w:tcW w:type="dxa" w:w="1600"/>
            <w:tcMar>
              <w:top w:type="dxa" w:w="80"/>
              <w:left w:type="dxa" w:w="110"/>
              <w:bottom w:type="dxa" w:w="80"/>
              <w:right w:type="dxa" w:w="90"/>
            </w:tcMar>
            <w:vAlign w:val="center"/>
          </w:tcPr>
          <w:p>
            <w:r>
              <w:rPr>
                <w:b/>
                <w:bCs/>
                <w:sz w:val="13"/>
                <w:szCs w:val="13"/>
              </w:rPr>
              <w:t xml:space="preserve">3 yrs min</w:t>
            </w:r>
          </w:p>
        </w:tc>
        <w:tc>
          <w:tcPr>
            <w:tcW w:type="dxa" w:w="2300"/>
            <w:tcMar>
              <w:top w:type="dxa" w:w="80"/>
              <w:left w:type="dxa" w:w="110"/>
              <w:bottom w:type="dxa" w:w="80"/>
              <w:right w:type="dxa" w:w="90"/>
            </w:tcMar>
            <w:vAlign w:val="center"/>
          </w:tcPr>
          <w:p>
            <w:r>
              <w:rPr>
                <w:sz w:val="12"/>
                <w:szCs w:val="12"/>
              </w:rPr>
              <w:t xml:space="preserve">Routine destruction after retention period</w:t>
            </w:r>
          </w:p>
        </w:tc>
      </w:tr>
      <w:tr>
        <w:tc>
          <w:tcPr>
            <w:tcW w:type="dxa" w:w="3200"/>
            <w:tcMar>
              <w:top w:type="dxa" w:w="80"/>
              <w:left w:type="dxa" w:w="110"/>
              <w:bottom w:type="dxa" w:w="80"/>
              <w:right w:type="dxa" w:w="90"/>
            </w:tcMar>
            <w:vAlign w:val="center"/>
          </w:tcPr>
          <w:p>
            <w:r>
              <w:rPr>
                <w:b/>
                <w:bCs/>
                <w:sz w:val="14"/>
                <w:szCs w:val="14"/>
              </w:rPr>
              <w:t xml:space="preserve">Sharps Injury Log</w:t>
            </w:r>
          </w:p>
        </w:tc>
        <w:tc>
          <w:tcPr>
            <w:tcW w:type="dxa" w:w="1800"/>
            <w:tcMar>
              <w:top w:type="dxa" w:w="80"/>
              <w:left w:type="dxa" w:w="110"/>
              <w:bottom w:type="dxa" w:w="80"/>
              <w:right w:type="dxa" w:w="90"/>
            </w:tcMar>
            <w:vAlign w:val="center"/>
          </w:tcPr>
          <w:p>
            <w:r>
              <w:rPr>
                <w:color w:val="0E2647"/>
                <w:sz w:val="13"/>
                <w:szCs w:val="13"/>
              </w:rPr>
              <w:t xml:space="preserve">SOP-IPC-08</w:t>
            </w:r>
          </w:p>
        </w:tc>
        <w:tc>
          <w:tcPr>
            <w:tcW w:type="dxa" w:w="1600"/>
            <w:tcMar>
              <w:top w:type="dxa" w:w="80"/>
              <w:left w:type="dxa" w:w="110"/>
              <w:bottom w:type="dxa" w:w="80"/>
              <w:right w:type="dxa" w:w="90"/>
            </w:tcMar>
            <w:vAlign w:val="center"/>
          </w:tcPr>
          <w:p>
            <w:r>
              <w:rPr>
                <w:b/>
                <w:bCs/>
                <w:sz w:val="13"/>
                <w:szCs w:val="13"/>
              </w:rPr>
              <w:t xml:space="preserve">3 yrs min (confidential)</w:t>
            </w:r>
          </w:p>
        </w:tc>
        <w:tc>
          <w:tcPr>
            <w:tcW w:type="dxa" w:w="2300"/>
            <w:tcMar>
              <w:top w:type="dxa" w:w="80"/>
              <w:left w:type="dxa" w:w="110"/>
              <w:bottom w:type="dxa" w:w="80"/>
              <w:right w:type="dxa" w:w="90"/>
            </w:tcMar>
            <w:vAlign w:val="center"/>
          </w:tcPr>
          <w:p>
            <w:r>
              <w:rPr>
                <w:sz w:val="12"/>
                <w:szCs w:val="12"/>
              </w:rPr>
              <w:t xml:space="preserve">Secure, confidential destruction — governed by the Needlestick Safety and Prevention Act principle [6]</w:t>
            </w:r>
          </w:p>
        </w:tc>
      </w:tr>
      <w:tr>
        <w:tc>
          <w:tcPr>
            <w:tcW w:type="dxa" w:w="3200"/>
            <w:tcMar>
              <w:top w:type="dxa" w:w="80"/>
              <w:left w:type="dxa" w:w="110"/>
              <w:bottom w:type="dxa" w:w="80"/>
              <w:right w:type="dxa" w:w="90"/>
            </w:tcMar>
            <w:vAlign w:val="center"/>
          </w:tcPr>
          <w:p>
            <w:r>
              <w:rPr>
                <w:b/>
                <w:bCs/>
                <w:sz w:val="14"/>
                <w:szCs w:val="14"/>
              </w:rPr>
              <w:t xml:space="preserve">Sterilization Log (BI/CI results)</w:t>
            </w:r>
          </w:p>
        </w:tc>
        <w:tc>
          <w:tcPr>
            <w:tcW w:type="dxa" w:w="1800"/>
            <w:tcMar>
              <w:top w:type="dxa" w:w="80"/>
              <w:left w:type="dxa" w:w="110"/>
              <w:bottom w:type="dxa" w:w="80"/>
              <w:right w:type="dxa" w:w="90"/>
            </w:tcMar>
            <w:vAlign w:val="center"/>
          </w:tcPr>
          <w:p>
            <w:r>
              <w:rPr>
                <w:color w:val="0E2647"/>
                <w:sz w:val="13"/>
                <w:szCs w:val="13"/>
              </w:rPr>
              <w:t xml:space="preserve">SOP-STR-01</w:t>
            </w:r>
          </w:p>
        </w:tc>
        <w:tc>
          <w:tcPr>
            <w:tcW w:type="dxa" w:w="1600"/>
            <w:tcMar>
              <w:top w:type="dxa" w:w="80"/>
              <w:left w:type="dxa" w:w="110"/>
              <w:bottom w:type="dxa" w:w="80"/>
              <w:right w:type="dxa" w:w="90"/>
            </w:tcMar>
            <w:vAlign w:val="center"/>
          </w:tcPr>
          <w:p>
            <w:r>
              <w:rPr>
                <w:b/>
                <w:bCs/>
                <w:sz w:val="13"/>
                <w:szCs w:val="13"/>
              </w:rPr>
              <w:t xml:space="preserve">3 yrs min</w:t>
            </w:r>
          </w:p>
        </w:tc>
        <w:tc>
          <w:tcPr>
            <w:tcW w:type="dxa" w:w="2300"/>
            <w:tcMar>
              <w:top w:type="dxa" w:w="80"/>
              <w:left w:type="dxa" w:w="110"/>
              <w:bottom w:type="dxa" w:w="80"/>
              <w:right w:type="dxa" w:w="90"/>
            </w:tcMar>
            <w:vAlign w:val="center"/>
          </w:tcPr>
          <w:p>
            <w:r>
              <w:rPr>
                <w:sz w:val="12"/>
                <w:szCs w:val="12"/>
              </w:rPr>
              <w:t xml:space="preserve">Secure archival, then destruction</w:t>
            </w:r>
          </w:p>
        </w:tc>
      </w:tr>
      <w:tr>
        <w:tc>
          <w:tcPr>
            <w:tcW w:type="dxa" w:w="3200"/>
            <w:tcMar>
              <w:top w:type="dxa" w:w="80"/>
              <w:left w:type="dxa" w:w="110"/>
              <w:bottom w:type="dxa" w:w="80"/>
              <w:right w:type="dxa" w:w="90"/>
            </w:tcMar>
            <w:vAlign w:val="center"/>
          </w:tcPr>
          <w:p>
            <w:r>
              <w:rPr>
                <w:b/>
                <w:bCs/>
                <w:sz w:val="14"/>
                <w:szCs w:val="14"/>
              </w:rPr>
              <w:t xml:space="preserve">Credentialing File</w:t>
            </w:r>
          </w:p>
        </w:tc>
        <w:tc>
          <w:tcPr>
            <w:tcW w:type="dxa" w:w="1800"/>
            <w:tcMar>
              <w:top w:type="dxa" w:w="80"/>
              <w:left w:type="dxa" w:w="110"/>
              <w:bottom w:type="dxa" w:w="80"/>
              <w:right w:type="dxa" w:w="90"/>
            </w:tcMar>
            <w:vAlign w:val="center"/>
          </w:tcPr>
          <w:p>
            <w:r>
              <w:rPr>
                <w:color w:val="0E2647"/>
                <w:sz w:val="13"/>
                <w:szCs w:val="13"/>
              </w:rPr>
              <w:t xml:space="preserve">SOP-HR-01</w:t>
            </w:r>
          </w:p>
        </w:tc>
        <w:tc>
          <w:tcPr>
            <w:tcW w:type="dxa" w:w="1600"/>
            <w:tcMar>
              <w:top w:type="dxa" w:w="80"/>
              <w:left w:type="dxa" w:w="110"/>
              <w:bottom w:type="dxa" w:w="80"/>
              <w:right w:type="dxa" w:w="90"/>
            </w:tcMar>
            <w:vAlign w:val="center"/>
          </w:tcPr>
          <w:p>
            <w:r>
              <w:rPr>
                <w:b/>
                <w:bCs/>
                <w:sz w:val="13"/>
                <w:szCs w:val="13"/>
              </w:rPr>
              <w:t xml:space="preserve">Duration of engagement + 3 yrs</w:t>
            </w:r>
          </w:p>
        </w:tc>
        <w:tc>
          <w:tcPr>
            <w:tcW w:type="dxa" w:w="2300"/>
            <w:tcMar>
              <w:top w:type="dxa" w:w="80"/>
              <w:left w:type="dxa" w:w="110"/>
              <w:bottom w:type="dxa" w:w="80"/>
              <w:right w:type="dxa" w:w="90"/>
            </w:tcMar>
            <w:vAlign w:val="center"/>
          </w:tcPr>
          <w:p>
            <w:r>
              <w:rPr>
                <w:sz w:val="12"/>
                <w:szCs w:val="12"/>
              </w:rPr>
              <w:t xml:space="preserve">Secure, confidential destruction</w:t>
            </w:r>
          </w:p>
        </w:tc>
      </w:tr>
      <w:tr>
        <w:tc>
          <w:tcPr>
            <w:tcW w:type="dxa" w:w="3200"/>
            <w:tcMar>
              <w:top w:type="dxa" w:w="80"/>
              <w:left w:type="dxa" w:w="110"/>
              <w:bottom w:type="dxa" w:w="80"/>
              <w:right w:type="dxa" w:w="90"/>
            </w:tcMar>
            <w:vAlign w:val="center"/>
          </w:tcPr>
          <w:p>
            <w:r>
              <w:rPr>
                <w:b/>
                <w:bCs/>
                <w:sz w:val="14"/>
                <w:szCs w:val="14"/>
              </w:rPr>
              <w:t xml:space="preserve">Access Log (patient records)</w:t>
            </w:r>
          </w:p>
        </w:tc>
        <w:tc>
          <w:tcPr>
            <w:tcW w:type="dxa" w:w="1800"/>
            <w:tcMar>
              <w:top w:type="dxa" w:w="80"/>
              <w:left w:type="dxa" w:w="110"/>
              <w:bottom w:type="dxa" w:w="80"/>
              <w:right w:type="dxa" w:w="90"/>
            </w:tcMar>
            <w:vAlign w:val="center"/>
          </w:tcPr>
          <w:p>
            <w:r>
              <w:rPr>
                <w:color w:val="0E2647"/>
                <w:sz w:val="13"/>
                <w:szCs w:val="13"/>
              </w:rPr>
              <w:t xml:space="preserve">SOP-HIM-01</w:t>
            </w:r>
          </w:p>
        </w:tc>
        <w:tc>
          <w:tcPr>
            <w:tcW w:type="dxa" w:w="1600"/>
            <w:tcMar>
              <w:top w:type="dxa" w:w="80"/>
              <w:left w:type="dxa" w:w="110"/>
              <w:bottom w:type="dxa" w:w="80"/>
              <w:right w:type="dxa" w:w="90"/>
            </w:tcMar>
            <w:vAlign w:val="center"/>
          </w:tcPr>
          <w:p>
            <w:r>
              <w:rPr>
                <w:b/>
                <w:bCs/>
                <w:sz w:val="13"/>
                <w:szCs w:val="13"/>
              </w:rPr>
              <w:t xml:space="preserve">3 yrs min</w:t>
            </w:r>
          </w:p>
        </w:tc>
        <w:tc>
          <w:tcPr>
            <w:tcW w:type="dxa" w:w="2300"/>
            <w:tcMar>
              <w:top w:type="dxa" w:w="80"/>
              <w:left w:type="dxa" w:w="110"/>
              <w:bottom w:type="dxa" w:w="80"/>
              <w:right w:type="dxa" w:w="90"/>
            </w:tcMar>
            <w:vAlign w:val="center"/>
          </w:tcPr>
          <w:p>
            <w:r>
              <w:rPr>
                <w:sz w:val="12"/>
                <w:szCs w:val="12"/>
              </w:rPr>
              <w:t xml:space="preserve">Secure, confidential destruction</w:t>
            </w:r>
          </w:p>
        </w:tc>
      </w:tr>
      <w:tr>
        <w:tc>
          <w:tcPr>
            <w:gridSpan w:val="4"/>
            <w:shd w:fill="E8EDF5" w:val="clear"/>
            <w:tcMar>
              <w:top w:type="dxa" w:w="70"/>
              <w:left w:type="dxa" w:w="110"/>
              <w:bottom w:type="dxa" w:w="70"/>
              <w:right w:type="dxa" w:w="90"/>
            </w:tcMar>
          </w:tcPr>
          <w:p>
            <w:r>
              <w:rPr>
                <w:b/>
                <w:bCs/>
                <w:color w:val="0E2647"/>
                <w:sz w:val="14"/>
                <w:szCs w:val="14"/>
              </w:rPr>
              <w:t xml:space="preserve">TIER 4 — LABORATORY &amp; DIAGNOSTICS</w:t>
            </w:r>
          </w:p>
        </w:tc>
      </w:tr>
      <w:tr>
        <w:tc>
          <w:tcPr>
            <w:tcW w:type="dxa" w:w="3200"/>
            <w:tcMar>
              <w:top w:type="dxa" w:w="80"/>
              <w:left w:type="dxa" w:w="110"/>
              <w:bottom w:type="dxa" w:w="80"/>
              <w:right w:type="dxa" w:w="90"/>
            </w:tcMar>
            <w:vAlign w:val="center"/>
          </w:tcPr>
          <w:p>
            <w:r>
              <w:rPr>
                <w:b/>
                <w:bCs/>
                <w:sz w:val="14"/>
                <w:szCs w:val="14"/>
              </w:rPr>
              <w:t xml:space="preserve">Daily QC Log</w:t>
            </w:r>
          </w:p>
        </w:tc>
        <w:tc>
          <w:tcPr>
            <w:tcW w:type="dxa" w:w="1800"/>
            <w:tcMar>
              <w:top w:type="dxa" w:w="80"/>
              <w:left w:type="dxa" w:w="110"/>
              <w:bottom w:type="dxa" w:w="80"/>
              <w:right w:type="dxa" w:w="90"/>
            </w:tcMar>
            <w:vAlign w:val="center"/>
          </w:tcPr>
          <w:p>
            <w:r>
              <w:rPr>
                <w:color w:val="0E2647"/>
                <w:sz w:val="13"/>
                <w:szCs w:val="13"/>
              </w:rPr>
              <w:t xml:space="preserve">SOP-LAB-02</w:t>
            </w:r>
          </w:p>
        </w:tc>
        <w:tc>
          <w:tcPr>
            <w:tcW w:type="dxa" w:w="1600"/>
            <w:tcMar>
              <w:top w:type="dxa" w:w="80"/>
              <w:left w:type="dxa" w:w="110"/>
              <w:bottom w:type="dxa" w:w="80"/>
              <w:right w:type="dxa" w:w="90"/>
            </w:tcMar>
            <w:vAlign w:val="center"/>
          </w:tcPr>
          <w:p>
            <w:r>
              <w:rPr>
                <w:b/>
                <w:bCs/>
                <w:sz w:val="13"/>
                <w:szCs w:val="13"/>
              </w:rPr>
              <w:t xml:space="preserve">3 yrs min</w:t>
            </w:r>
          </w:p>
        </w:tc>
        <w:tc>
          <w:tcPr>
            <w:tcW w:type="dxa" w:w="2300"/>
            <w:tcMar>
              <w:top w:type="dxa" w:w="80"/>
              <w:left w:type="dxa" w:w="110"/>
              <w:bottom w:type="dxa" w:w="80"/>
              <w:right w:type="dxa" w:w="90"/>
            </w:tcMar>
            <w:vAlign w:val="center"/>
          </w:tcPr>
          <w:p>
            <w:r>
              <w:rPr>
                <w:sz w:val="12"/>
                <w:szCs w:val="12"/>
              </w:rPr>
              <w:t xml:space="preserve">Secure archival, then destruction</w:t>
            </w:r>
          </w:p>
        </w:tc>
      </w:tr>
      <w:tr>
        <w:tc>
          <w:tcPr>
            <w:tcW w:type="dxa" w:w="3200"/>
            <w:tcMar>
              <w:top w:type="dxa" w:w="80"/>
              <w:left w:type="dxa" w:w="110"/>
              <w:bottom w:type="dxa" w:w="80"/>
              <w:right w:type="dxa" w:w="90"/>
            </w:tcMar>
            <w:vAlign w:val="center"/>
          </w:tcPr>
          <w:p>
            <w:r>
              <w:rPr>
                <w:b/>
                <w:bCs/>
                <w:sz w:val="14"/>
                <w:szCs w:val="14"/>
              </w:rPr>
              <w:t xml:space="preserve">EQA/PT Results</w:t>
            </w:r>
          </w:p>
        </w:tc>
        <w:tc>
          <w:tcPr>
            <w:tcW w:type="dxa" w:w="1800"/>
            <w:tcMar>
              <w:top w:type="dxa" w:w="80"/>
              <w:left w:type="dxa" w:w="110"/>
              <w:bottom w:type="dxa" w:w="80"/>
              <w:right w:type="dxa" w:w="90"/>
            </w:tcMar>
            <w:vAlign w:val="center"/>
          </w:tcPr>
          <w:p>
            <w:r>
              <w:rPr>
                <w:color w:val="0E2647"/>
                <w:sz w:val="13"/>
                <w:szCs w:val="13"/>
              </w:rPr>
              <w:t xml:space="preserve">SOP-LAB-02</w:t>
            </w:r>
          </w:p>
        </w:tc>
        <w:tc>
          <w:tcPr>
            <w:tcW w:type="dxa" w:w="1600"/>
            <w:tcMar>
              <w:top w:type="dxa" w:w="80"/>
              <w:left w:type="dxa" w:w="110"/>
              <w:bottom w:type="dxa" w:w="80"/>
              <w:right w:type="dxa" w:w="90"/>
            </w:tcMar>
            <w:vAlign w:val="center"/>
          </w:tcPr>
          <w:p>
            <w:r>
              <w:rPr>
                <w:b/>
                <w:bCs/>
                <w:sz w:val="13"/>
                <w:szCs w:val="13"/>
              </w:rPr>
              <w:t xml:space="preserve">3 yrs min</w:t>
            </w:r>
          </w:p>
        </w:tc>
        <w:tc>
          <w:tcPr>
            <w:tcW w:type="dxa" w:w="2300"/>
            <w:tcMar>
              <w:top w:type="dxa" w:w="80"/>
              <w:left w:type="dxa" w:w="110"/>
              <w:bottom w:type="dxa" w:w="80"/>
              <w:right w:type="dxa" w:w="90"/>
            </w:tcMar>
            <w:vAlign w:val="center"/>
          </w:tcPr>
          <w:p>
            <w:r>
              <w:rPr>
                <w:sz w:val="12"/>
                <w:szCs w:val="12"/>
              </w:rPr>
              <w:t xml:space="preserve">Secure archival, then destruction</w:t>
            </w:r>
          </w:p>
        </w:tc>
      </w:tr>
      <w:tr>
        <w:tc>
          <w:tcPr>
            <w:tcW w:type="dxa" w:w="3200"/>
            <w:tcMar>
              <w:top w:type="dxa" w:w="80"/>
              <w:left w:type="dxa" w:w="110"/>
              <w:bottom w:type="dxa" w:w="80"/>
              <w:right w:type="dxa" w:w="90"/>
            </w:tcMar>
            <w:vAlign w:val="center"/>
          </w:tcPr>
          <w:p>
            <w:r>
              <w:rPr>
                <w:b/>
                <w:bCs/>
                <w:sz w:val="14"/>
                <w:szCs w:val="14"/>
              </w:rPr>
              <w:t xml:space="preserve">Specimen Rejection Log</w:t>
            </w:r>
          </w:p>
        </w:tc>
        <w:tc>
          <w:tcPr>
            <w:tcW w:type="dxa" w:w="1800"/>
            <w:tcMar>
              <w:top w:type="dxa" w:w="80"/>
              <w:left w:type="dxa" w:w="110"/>
              <w:bottom w:type="dxa" w:w="80"/>
              <w:right w:type="dxa" w:w="90"/>
            </w:tcMar>
            <w:vAlign w:val="center"/>
          </w:tcPr>
          <w:p>
            <w:r>
              <w:rPr>
                <w:color w:val="0E2647"/>
                <w:sz w:val="13"/>
                <w:szCs w:val="13"/>
              </w:rPr>
              <w:t xml:space="preserve">SOP-LAB-03</w:t>
            </w:r>
          </w:p>
        </w:tc>
        <w:tc>
          <w:tcPr>
            <w:tcW w:type="dxa" w:w="1600"/>
            <w:tcMar>
              <w:top w:type="dxa" w:w="80"/>
              <w:left w:type="dxa" w:w="110"/>
              <w:bottom w:type="dxa" w:w="80"/>
              <w:right w:type="dxa" w:w="90"/>
            </w:tcMar>
            <w:vAlign w:val="center"/>
          </w:tcPr>
          <w:p>
            <w:r>
              <w:rPr>
                <w:b/>
                <w:bCs/>
                <w:sz w:val="13"/>
                <w:szCs w:val="13"/>
              </w:rPr>
              <w:t xml:space="preserve">3 yrs min</w:t>
            </w:r>
          </w:p>
        </w:tc>
        <w:tc>
          <w:tcPr>
            <w:tcW w:type="dxa" w:w="2300"/>
            <w:tcMar>
              <w:top w:type="dxa" w:w="80"/>
              <w:left w:type="dxa" w:w="110"/>
              <w:bottom w:type="dxa" w:w="80"/>
              <w:right w:type="dxa" w:w="90"/>
            </w:tcMar>
            <w:vAlign w:val="center"/>
          </w:tcPr>
          <w:p>
            <w:r>
              <w:rPr>
                <w:sz w:val="12"/>
                <w:szCs w:val="12"/>
              </w:rPr>
              <w:t xml:space="preserve">Secure archival, then destruction</w:t>
            </w:r>
          </w:p>
        </w:tc>
      </w:tr>
      <w:tr>
        <w:tc>
          <w:tcPr>
            <w:tcW w:type="dxa" w:w="3200"/>
            <w:tcMar>
              <w:top w:type="dxa" w:w="80"/>
              <w:left w:type="dxa" w:w="110"/>
              <w:bottom w:type="dxa" w:w="80"/>
              <w:right w:type="dxa" w:w="90"/>
            </w:tcMar>
            <w:vAlign w:val="center"/>
          </w:tcPr>
          <w:p>
            <w:r>
              <w:rPr>
                <w:b/>
                <w:bCs/>
                <w:sz w:val="14"/>
                <w:szCs w:val="14"/>
              </w:rPr>
              <w:t xml:space="preserve">Imaging Equipment QA Log</w:t>
            </w:r>
          </w:p>
        </w:tc>
        <w:tc>
          <w:tcPr>
            <w:tcW w:type="dxa" w:w="1800"/>
            <w:tcMar>
              <w:top w:type="dxa" w:w="80"/>
              <w:left w:type="dxa" w:w="110"/>
              <w:bottom w:type="dxa" w:w="80"/>
              <w:right w:type="dxa" w:w="90"/>
            </w:tcMar>
            <w:vAlign w:val="center"/>
          </w:tcPr>
          <w:p>
            <w:r>
              <w:rPr>
                <w:color w:val="0E2647"/>
                <w:sz w:val="13"/>
                <w:szCs w:val="13"/>
              </w:rPr>
              <w:t xml:space="preserve">SOP-LAB-04</w:t>
            </w:r>
          </w:p>
        </w:tc>
        <w:tc>
          <w:tcPr>
            <w:tcW w:type="dxa" w:w="1600"/>
            <w:tcMar>
              <w:top w:type="dxa" w:w="80"/>
              <w:left w:type="dxa" w:w="110"/>
              <w:bottom w:type="dxa" w:w="80"/>
              <w:right w:type="dxa" w:w="90"/>
            </w:tcMar>
            <w:vAlign w:val="center"/>
          </w:tcPr>
          <w:p>
            <w:r>
              <w:rPr>
                <w:b/>
                <w:bCs/>
                <w:sz w:val="13"/>
                <w:szCs w:val="13"/>
              </w:rPr>
              <w:t xml:space="preserve">3 yrs min</w:t>
            </w:r>
          </w:p>
        </w:tc>
        <w:tc>
          <w:tcPr>
            <w:tcW w:type="dxa" w:w="2300"/>
            <w:tcMar>
              <w:top w:type="dxa" w:w="80"/>
              <w:left w:type="dxa" w:w="110"/>
              <w:bottom w:type="dxa" w:w="80"/>
              <w:right w:type="dxa" w:w="90"/>
            </w:tcMar>
            <w:vAlign w:val="center"/>
          </w:tcPr>
          <w:p>
            <w:r>
              <w:rPr>
                <w:sz w:val="12"/>
                <w:szCs w:val="12"/>
              </w:rPr>
              <w:t xml:space="preserve">Secure archival, then destruction</w:t>
            </w:r>
          </w:p>
        </w:tc>
      </w:tr>
      <w:tr>
        <w:tc>
          <w:tcPr>
            <w:gridSpan w:val="4"/>
            <w:shd w:fill="E8EDF5" w:val="clear"/>
            <w:tcMar>
              <w:top w:type="dxa" w:w="70"/>
              <w:left w:type="dxa" w:w="110"/>
              <w:bottom w:type="dxa" w:w="70"/>
              <w:right w:type="dxa" w:w="90"/>
            </w:tcMar>
          </w:tcPr>
          <w:p>
            <w:r>
              <w:rPr>
                <w:b/>
                <w:bCs/>
                <w:color w:val="0E2647"/>
                <w:sz w:val="14"/>
                <w:szCs w:val="14"/>
              </w:rPr>
              <w:t xml:space="preserve">TIER 5 — ONCOLOGY</w:t>
            </w:r>
          </w:p>
        </w:tc>
      </w:tr>
      <w:tr>
        <w:tc>
          <w:tcPr>
            <w:tcW w:type="dxa" w:w="3200"/>
            <w:tcMar>
              <w:top w:type="dxa" w:w="80"/>
              <w:left w:type="dxa" w:w="110"/>
              <w:bottom w:type="dxa" w:w="80"/>
              <w:right w:type="dxa" w:w="90"/>
            </w:tcMar>
            <w:vAlign w:val="center"/>
          </w:tcPr>
          <w:p>
            <w:r>
              <w:rPr>
                <w:b/>
                <w:bCs/>
                <w:sz w:val="14"/>
                <w:szCs w:val="14"/>
              </w:rPr>
              <w:t xml:space="preserve">Extravasation Documentation</w:t>
            </w:r>
          </w:p>
        </w:tc>
        <w:tc>
          <w:tcPr>
            <w:tcW w:type="dxa" w:w="1800"/>
            <w:tcMar>
              <w:top w:type="dxa" w:w="80"/>
              <w:left w:type="dxa" w:w="110"/>
              <w:bottom w:type="dxa" w:w="80"/>
              <w:right w:type="dxa" w:w="90"/>
            </w:tcMar>
            <w:vAlign w:val="center"/>
          </w:tcPr>
          <w:p>
            <w:r>
              <w:rPr>
                <w:color w:val="0E2647"/>
                <w:sz w:val="13"/>
                <w:szCs w:val="13"/>
              </w:rPr>
              <w:t xml:space="preserve">ONC-02</w:t>
            </w:r>
          </w:p>
        </w:tc>
        <w:tc>
          <w:tcPr>
            <w:tcW w:type="dxa" w:w="1600"/>
            <w:tcMar>
              <w:top w:type="dxa" w:w="80"/>
              <w:left w:type="dxa" w:w="110"/>
              <w:bottom w:type="dxa" w:w="80"/>
              <w:right w:type="dxa" w:w="90"/>
            </w:tcMar>
            <w:vAlign w:val="center"/>
          </w:tcPr>
          <w:p>
            <w:r>
              <w:rPr>
                <w:b/>
                <w:bCs/>
                <w:sz w:val="13"/>
                <w:szCs w:val="13"/>
              </w:rPr>
              <w:t xml:space="preserve">3 yrs min (clinical record)</w:t>
            </w:r>
          </w:p>
        </w:tc>
        <w:tc>
          <w:tcPr>
            <w:tcW w:type="dxa" w:w="2300"/>
            <w:tcMar>
              <w:top w:type="dxa" w:w="80"/>
              <w:left w:type="dxa" w:w="110"/>
              <w:bottom w:type="dxa" w:w="80"/>
              <w:right w:type="dxa" w:w="90"/>
            </w:tcMar>
            <w:vAlign w:val="center"/>
          </w:tcPr>
          <w:p>
            <w:r>
              <w:rPr>
                <w:sz w:val="12"/>
                <w:szCs w:val="12"/>
              </w:rPr>
              <w:t xml:space="preserve">Retained with the patient's clinical record, per applicable retention rule</w:t>
            </w:r>
          </w:p>
        </w:tc>
      </w:tr>
      <w:tr>
        <w:tc>
          <w:tcPr>
            <w:tcW w:type="dxa" w:w="3200"/>
            <w:tcMar>
              <w:top w:type="dxa" w:w="80"/>
              <w:left w:type="dxa" w:w="110"/>
              <w:bottom w:type="dxa" w:w="80"/>
              <w:right w:type="dxa" w:w="90"/>
            </w:tcMar>
            <w:vAlign w:val="center"/>
          </w:tcPr>
          <w:p>
            <w:r>
              <w:rPr>
                <w:b/>
                <w:bCs/>
                <w:sz w:val="14"/>
                <w:szCs w:val="14"/>
              </w:rPr>
              <w:t xml:space="preserve">Oncology Consent/Fertility Discussion Record</w:t>
            </w:r>
          </w:p>
        </w:tc>
        <w:tc>
          <w:tcPr>
            <w:tcW w:type="dxa" w:w="1800"/>
            <w:tcMar>
              <w:top w:type="dxa" w:w="80"/>
              <w:left w:type="dxa" w:w="110"/>
              <w:bottom w:type="dxa" w:w="80"/>
              <w:right w:type="dxa" w:w="90"/>
            </w:tcMar>
            <w:vAlign w:val="center"/>
          </w:tcPr>
          <w:p>
            <w:r>
              <w:rPr>
                <w:color w:val="0E2647"/>
                <w:sz w:val="13"/>
                <w:szCs w:val="13"/>
              </w:rPr>
              <w:t xml:space="preserve">ONC-03</w:t>
            </w:r>
          </w:p>
        </w:tc>
        <w:tc>
          <w:tcPr>
            <w:tcW w:type="dxa" w:w="1600"/>
            <w:tcMar>
              <w:top w:type="dxa" w:w="80"/>
              <w:left w:type="dxa" w:w="110"/>
              <w:bottom w:type="dxa" w:w="80"/>
              <w:right w:type="dxa" w:w="90"/>
            </w:tcMar>
            <w:vAlign w:val="center"/>
          </w:tcPr>
          <w:p>
            <w:r>
              <w:rPr>
                <w:b/>
                <w:bCs/>
                <w:sz w:val="13"/>
                <w:szCs w:val="13"/>
              </w:rPr>
              <w:t xml:space="preserve">3 yrs min (clinical record)</w:t>
            </w:r>
          </w:p>
        </w:tc>
        <w:tc>
          <w:tcPr>
            <w:tcW w:type="dxa" w:w="2300"/>
            <w:tcMar>
              <w:top w:type="dxa" w:w="80"/>
              <w:left w:type="dxa" w:w="110"/>
              <w:bottom w:type="dxa" w:w="80"/>
              <w:right w:type="dxa" w:w="90"/>
            </w:tcMar>
            <w:vAlign w:val="center"/>
          </w:tcPr>
          <w:p>
            <w:r>
              <w:rPr>
                <w:sz w:val="12"/>
                <w:szCs w:val="12"/>
              </w:rPr>
              <w:t xml:space="preserve">Retained with the patient's clinical record</w:t>
            </w:r>
          </w:p>
        </w:tc>
      </w:tr>
      <w:tr>
        <w:tc>
          <w:tcPr>
            <w:tcW w:type="dxa" w:w="3200"/>
            <w:tcMar>
              <w:top w:type="dxa" w:w="80"/>
              <w:left w:type="dxa" w:w="110"/>
              <w:bottom w:type="dxa" w:w="80"/>
              <w:right w:type="dxa" w:w="90"/>
            </w:tcMar>
            <w:vAlign w:val="center"/>
          </w:tcPr>
          <w:p>
            <w:r>
              <w:rPr>
                <w:b/>
                <w:bCs/>
                <w:sz w:val="14"/>
                <w:szCs w:val="14"/>
              </w:rPr>
              <w:t xml:space="preserve">Hazardous Waste Manifest</w:t>
            </w:r>
          </w:p>
        </w:tc>
        <w:tc>
          <w:tcPr>
            <w:tcW w:type="dxa" w:w="1800"/>
            <w:tcMar>
              <w:top w:type="dxa" w:w="80"/>
              <w:left w:type="dxa" w:w="110"/>
              <w:bottom w:type="dxa" w:w="80"/>
              <w:right w:type="dxa" w:w="90"/>
            </w:tcMar>
            <w:vAlign w:val="center"/>
          </w:tcPr>
          <w:p>
            <w:r>
              <w:rPr>
                <w:color w:val="0E2647"/>
                <w:sz w:val="13"/>
                <w:szCs w:val="13"/>
              </w:rPr>
              <w:t xml:space="preserve">ONC-04</w:t>
            </w:r>
          </w:p>
        </w:tc>
        <w:tc>
          <w:tcPr>
            <w:tcW w:type="dxa" w:w="1600"/>
            <w:tcMar>
              <w:top w:type="dxa" w:w="80"/>
              <w:left w:type="dxa" w:w="110"/>
              <w:bottom w:type="dxa" w:w="80"/>
              <w:right w:type="dxa" w:w="90"/>
            </w:tcMar>
            <w:vAlign w:val="center"/>
          </w:tcPr>
          <w:p>
            <w:r>
              <w:rPr>
                <w:b/>
                <w:bCs/>
                <w:sz w:val="13"/>
                <w:szCs w:val="13"/>
              </w:rPr>
              <w:t xml:space="preserve">3 yrs min</w:t>
            </w:r>
          </w:p>
        </w:tc>
        <w:tc>
          <w:tcPr>
            <w:tcW w:type="dxa" w:w="2300"/>
            <w:tcMar>
              <w:top w:type="dxa" w:w="80"/>
              <w:left w:type="dxa" w:w="110"/>
              <w:bottom w:type="dxa" w:w="80"/>
              <w:right w:type="dxa" w:w="90"/>
            </w:tcMar>
            <w:vAlign w:val="center"/>
          </w:tcPr>
          <w:p>
            <w:r>
              <w:rPr>
                <w:sz w:val="12"/>
                <w:szCs w:val="12"/>
              </w:rPr>
              <w:t xml:space="preserve">Secure archival per waste contractor requirements</w:t>
            </w:r>
          </w:p>
        </w:tc>
      </w:tr>
      <w:tr>
        <w:tc>
          <w:tcPr>
            <w:gridSpan w:val="4"/>
            <w:shd w:fill="E8EDF5" w:val="clear"/>
            <w:tcMar>
              <w:top w:type="dxa" w:w="70"/>
              <w:left w:type="dxa" w:w="110"/>
              <w:bottom w:type="dxa" w:w="70"/>
              <w:right w:type="dxa" w:w="90"/>
            </w:tcMar>
          </w:tcPr>
          <w:p>
            <w:r>
              <w:rPr>
                <w:b/>
                <w:bCs/>
                <w:color w:val="0E2647"/>
                <w:sz w:val="14"/>
                <w:szCs w:val="14"/>
              </w:rPr>
              <w:t xml:space="preserve">TIER 6 — PEDIATRIC</w:t>
            </w:r>
          </w:p>
        </w:tc>
      </w:tr>
      <w:tr>
        <w:tc>
          <w:tcPr>
            <w:tcW w:type="dxa" w:w="3200"/>
            <w:tcMar>
              <w:top w:type="dxa" w:w="80"/>
              <w:left w:type="dxa" w:w="110"/>
              <w:bottom w:type="dxa" w:w="80"/>
              <w:right w:type="dxa" w:w="90"/>
            </w:tcMar>
            <w:vAlign w:val="center"/>
          </w:tcPr>
          <w:p>
            <w:r>
              <w:rPr>
                <w:b/>
                <w:bCs/>
                <w:sz w:val="14"/>
                <w:szCs w:val="14"/>
              </w:rPr>
              <w:t xml:space="preserve">Pediatric Consent/Assent Record</w:t>
            </w:r>
          </w:p>
        </w:tc>
        <w:tc>
          <w:tcPr>
            <w:tcW w:type="dxa" w:w="1800"/>
            <w:tcMar>
              <w:top w:type="dxa" w:w="80"/>
              <w:left w:type="dxa" w:w="110"/>
              <w:bottom w:type="dxa" w:w="80"/>
              <w:right w:type="dxa" w:w="90"/>
            </w:tcMar>
            <w:vAlign w:val="center"/>
          </w:tcPr>
          <w:p>
            <w:r>
              <w:rPr>
                <w:color w:val="0E2647"/>
                <w:sz w:val="13"/>
                <w:szCs w:val="13"/>
              </w:rPr>
              <w:t xml:space="preserve">PED-01</w:t>
            </w:r>
          </w:p>
        </w:tc>
        <w:tc>
          <w:tcPr>
            <w:tcW w:type="dxa" w:w="1600"/>
            <w:tcMar>
              <w:top w:type="dxa" w:w="80"/>
              <w:left w:type="dxa" w:w="110"/>
              <w:bottom w:type="dxa" w:w="80"/>
              <w:right w:type="dxa" w:w="90"/>
            </w:tcMar>
            <w:vAlign w:val="center"/>
          </w:tcPr>
          <w:p>
            <w:r>
              <w:rPr>
                <w:b/>
                <w:bCs/>
                <w:sz w:val="13"/>
                <w:szCs w:val="13"/>
              </w:rPr>
              <w:t xml:space="preserve">3 yrs min (clinical record)</w:t>
            </w:r>
          </w:p>
        </w:tc>
        <w:tc>
          <w:tcPr>
            <w:tcW w:type="dxa" w:w="2300"/>
            <w:tcMar>
              <w:top w:type="dxa" w:w="80"/>
              <w:left w:type="dxa" w:w="110"/>
              <w:bottom w:type="dxa" w:w="80"/>
              <w:right w:type="dxa" w:w="90"/>
            </w:tcMar>
            <w:vAlign w:val="center"/>
          </w:tcPr>
          <w:p>
            <w:r>
              <w:rPr>
                <w:sz w:val="12"/>
                <w:szCs w:val="12"/>
              </w:rPr>
              <w:t xml:space="preserve">Retained with the patient's clinical record</w:t>
            </w:r>
          </w:p>
        </w:tc>
      </w:tr>
      <w:tr>
        <w:tc>
          <w:tcPr>
            <w:tcW w:type="dxa" w:w="3200"/>
            <w:tcMar>
              <w:top w:type="dxa" w:w="80"/>
              <w:left w:type="dxa" w:w="110"/>
              <w:bottom w:type="dxa" w:w="80"/>
              <w:right w:type="dxa" w:w="90"/>
            </w:tcMar>
            <w:vAlign w:val="center"/>
          </w:tcPr>
          <w:p>
            <w:r>
              <w:rPr>
                <w:b/>
                <w:bCs/>
                <w:sz w:val="14"/>
                <w:szCs w:val="14"/>
              </w:rPr>
              <w:t xml:space="preserve">Refrigerator/Freezer Temperature Log</w:t>
            </w:r>
          </w:p>
        </w:tc>
        <w:tc>
          <w:tcPr>
            <w:tcW w:type="dxa" w:w="1800"/>
            <w:tcMar>
              <w:top w:type="dxa" w:w="80"/>
              <w:left w:type="dxa" w:w="110"/>
              <w:bottom w:type="dxa" w:w="80"/>
              <w:right w:type="dxa" w:w="90"/>
            </w:tcMar>
            <w:vAlign w:val="center"/>
          </w:tcPr>
          <w:p>
            <w:r>
              <w:rPr>
                <w:color w:val="0E2647"/>
                <w:sz w:val="13"/>
                <w:szCs w:val="13"/>
              </w:rPr>
              <w:t xml:space="preserve">PED-04</w:t>
            </w:r>
          </w:p>
        </w:tc>
        <w:tc>
          <w:tcPr>
            <w:tcW w:type="dxa" w:w="1600"/>
            <w:tcMar>
              <w:top w:type="dxa" w:w="80"/>
              <w:left w:type="dxa" w:w="110"/>
              <w:bottom w:type="dxa" w:w="80"/>
              <w:right w:type="dxa" w:w="90"/>
            </w:tcMar>
            <w:vAlign w:val="center"/>
          </w:tcPr>
          <w:p>
            <w:r>
              <w:rPr>
                <w:b/>
                <w:bCs/>
                <w:sz w:val="13"/>
                <w:szCs w:val="13"/>
              </w:rPr>
              <w:t xml:space="preserve">3 yrs min</w:t>
            </w:r>
          </w:p>
        </w:tc>
        <w:tc>
          <w:tcPr>
            <w:tcW w:type="dxa" w:w="2300"/>
            <w:tcMar>
              <w:top w:type="dxa" w:w="80"/>
              <w:left w:type="dxa" w:w="110"/>
              <w:bottom w:type="dxa" w:w="80"/>
              <w:right w:type="dxa" w:w="90"/>
            </w:tcMar>
            <w:vAlign w:val="center"/>
          </w:tcPr>
          <w:p>
            <w:r>
              <w:rPr>
                <w:sz w:val="12"/>
                <w:szCs w:val="12"/>
              </w:rPr>
              <w:t xml:space="preserve">Secure archival, then destruction</w:t>
            </w:r>
          </w:p>
        </w:tc>
      </w:tr>
      <w:tr>
        <w:tc>
          <w:tcPr>
            <w:tcW w:type="dxa" w:w="3200"/>
            <w:tcMar>
              <w:top w:type="dxa" w:w="80"/>
              <w:left w:type="dxa" w:w="110"/>
              <w:bottom w:type="dxa" w:w="80"/>
              <w:right w:type="dxa" w:w="90"/>
            </w:tcMar>
            <w:vAlign w:val="center"/>
          </w:tcPr>
          <w:p>
            <w:r>
              <w:rPr>
                <w:b/>
                <w:bCs/>
                <w:sz w:val="14"/>
                <w:szCs w:val="14"/>
              </w:rPr>
              <w:t xml:space="preserve">DDL Download Records</w:t>
            </w:r>
          </w:p>
        </w:tc>
        <w:tc>
          <w:tcPr>
            <w:tcW w:type="dxa" w:w="1800"/>
            <w:tcMar>
              <w:top w:type="dxa" w:w="80"/>
              <w:left w:type="dxa" w:w="110"/>
              <w:bottom w:type="dxa" w:w="80"/>
              <w:right w:type="dxa" w:w="90"/>
            </w:tcMar>
            <w:vAlign w:val="center"/>
          </w:tcPr>
          <w:p>
            <w:r>
              <w:rPr>
                <w:color w:val="0E2647"/>
                <w:sz w:val="13"/>
                <w:szCs w:val="13"/>
              </w:rPr>
              <w:t xml:space="preserve">PED-04</w:t>
            </w:r>
          </w:p>
        </w:tc>
        <w:tc>
          <w:tcPr>
            <w:tcW w:type="dxa" w:w="1600"/>
            <w:tcMar>
              <w:top w:type="dxa" w:w="80"/>
              <w:left w:type="dxa" w:w="110"/>
              <w:bottom w:type="dxa" w:w="80"/>
              <w:right w:type="dxa" w:w="90"/>
            </w:tcMar>
            <w:vAlign w:val="center"/>
          </w:tcPr>
          <w:p>
            <w:r>
              <w:rPr>
                <w:b/>
                <w:bCs/>
                <w:sz w:val="13"/>
                <w:szCs w:val="13"/>
              </w:rPr>
              <w:t xml:space="preserve">3 yrs min (specific requirement)</w:t>
            </w:r>
          </w:p>
        </w:tc>
        <w:tc>
          <w:tcPr>
            <w:tcW w:type="dxa" w:w="2300"/>
            <w:tcMar>
              <w:top w:type="dxa" w:w="80"/>
              <w:left w:type="dxa" w:w="110"/>
              <w:bottom w:type="dxa" w:w="80"/>
              <w:right w:type="dxa" w:w="90"/>
            </w:tcMar>
            <w:vAlign w:val="center"/>
          </w:tcPr>
          <w:p>
            <w:r>
              <w:rPr>
                <w:sz w:val="12"/>
                <w:szCs w:val="12"/>
              </w:rPr>
              <w:t xml:space="preserve">Secure archival per the specific PED-04 retention rule [5]</w:t>
            </w:r>
          </w:p>
        </w:tc>
      </w:tr>
      <w:tr>
        <w:tc>
          <w:tcPr>
            <w:gridSpan w:val="4"/>
            <w:shd w:fill="E8EDF5" w:val="clear"/>
            <w:tcMar>
              <w:top w:type="dxa" w:w="70"/>
              <w:left w:type="dxa" w:w="110"/>
              <w:bottom w:type="dxa" w:w="70"/>
              <w:right w:type="dxa" w:w="90"/>
            </w:tcMar>
          </w:tcPr>
          <w:p>
            <w:r>
              <w:rPr>
                <w:b/>
                <w:bCs/>
                <w:color w:val="0E2647"/>
                <w:sz w:val="14"/>
                <w:szCs w:val="14"/>
              </w:rPr>
              <w:t xml:space="preserve">TIER 7 — CROSS-CUTTING</w:t>
            </w:r>
          </w:p>
        </w:tc>
      </w:tr>
      <w:tr>
        <w:tc>
          <w:tcPr>
            <w:tcW w:type="dxa" w:w="3200"/>
            <w:tcMar>
              <w:top w:type="dxa" w:w="80"/>
              <w:left w:type="dxa" w:w="110"/>
              <w:bottom w:type="dxa" w:w="80"/>
              <w:right w:type="dxa" w:w="90"/>
            </w:tcMar>
            <w:vAlign w:val="center"/>
          </w:tcPr>
          <w:p>
            <w:r>
              <w:rPr>
                <w:b/>
                <w:bCs/>
                <w:sz w:val="14"/>
                <w:szCs w:val="14"/>
              </w:rPr>
              <w:t xml:space="preserve">Emergency Equipment Check Log</w:t>
            </w:r>
          </w:p>
        </w:tc>
        <w:tc>
          <w:tcPr>
            <w:tcW w:type="dxa" w:w="1800"/>
            <w:tcMar>
              <w:top w:type="dxa" w:w="80"/>
              <w:left w:type="dxa" w:w="110"/>
              <w:bottom w:type="dxa" w:w="80"/>
              <w:right w:type="dxa" w:w="90"/>
            </w:tcMar>
            <w:vAlign w:val="center"/>
          </w:tcPr>
          <w:p>
            <w:r>
              <w:rPr>
                <w:color w:val="0E2647"/>
                <w:sz w:val="13"/>
                <w:szCs w:val="13"/>
              </w:rPr>
              <w:t xml:space="preserve">CC-01</w:t>
            </w:r>
          </w:p>
        </w:tc>
        <w:tc>
          <w:tcPr>
            <w:tcW w:type="dxa" w:w="1600"/>
            <w:tcMar>
              <w:top w:type="dxa" w:w="80"/>
              <w:left w:type="dxa" w:w="110"/>
              <w:bottom w:type="dxa" w:w="80"/>
              <w:right w:type="dxa" w:w="90"/>
            </w:tcMar>
            <w:vAlign w:val="center"/>
          </w:tcPr>
          <w:p>
            <w:r>
              <w:rPr>
                <w:b/>
                <w:bCs/>
                <w:sz w:val="13"/>
                <w:szCs w:val="13"/>
              </w:rPr>
              <w:t xml:space="preserve">3 yrs min</w:t>
            </w:r>
          </w:p>
        </w:tc>
        <w:tc>
          <w:tcPr>
            <w:tcW w:type="dxa" w:w="2300"/>
            <w:tcMar>
              <w:top w:type="dxa" w:w="80"/>
              <w:left w:type="dxa" w:w="110"/>
              <w:bottom w:type="dxa" w:w="80"/>
              <w:right w:type="dxa" w:w="90"/>
            </w:tcMar>
            <w:vAlign w:val="center"/>
          </w:tcPr>
          <w:p>
            <w:r>
              <w:rPr>
                <w:sz w:val="12"/>
                <w:szCs w:val="12"/>
              </w:rPr>
              <w:t xml:space="preserve">Routine destruction after retention period</w:t>
            </w:r>
          </w:p>
        </w:tc>
      </w:tr>
      <w:tr>
        <w:tc>
          <w:tcPr>
            <w:tcW w:type="dxa" w:w="3200"/>
            <w:tcMar>
              <w:top w:type="dxa" w:w="80"/>
              <w:left w:type="dxa" w:w="110"/>
              <w:bottom w:type="dxa" w:w="80"/>
              <w:right w:type="dxa" w:w="90"/>
            </w:tcMar>
            <w:vAlign w:val="center"/>
          </w:tcPr>
          <w:p>
            <w:r>
              <w:rPr>
                <w:b/>
                <w:bCs/>
                <w:sz w:val="14"/>
                <w:szCs w:val="14"/>
              </w:rPr>
              <w:t xml:space="preserve">Critical Supplier Certification File</w:t>
            </w:r>
          </w:p>
        </w:tc>
        <w:tc>
          <w:tcPr>
            <w:tcW w:type="dxa" w:w="1800"/>
            <w:tcMar>
              <w:top w:type="dxa" w:w="80"/>
              <w:left w:type="dxa" w:w="110"/>
              <w:bottom w:type="dxa" w:w="80"/>
              <w:right w:type="dxa" w:w="90"/>
            </w:tcMar>
            <w:vAlign w:val="center"/>
          </w:tcPr>
          <w:p>
            <w:r>
              <w:rPr>
                <w:color w:val="0E2647"/>
                <w:sz w:val="13"/>
                <w:szCs w:val="13"/>
              </w:rPr>
              <w:t xml:space="preserve">CC-02</w:t>
            </w:r>
          </w:p>
        </w:tc>
        <w:tc>
          <w:tcPr>
            <w:tcW w:type="dxa" w:w="1600"/>
            <w:tcMar>
              <w:top w:type="dxa" w:w="80"/>
              <w:left w:type="dxa" w:w="110"/>
              <w:bottom w:type="dxa" w:w="80"/>
              <w:right w:type="dxa" w:w="90"/>
            </w:tcMar>
            <w:vAlign w:val="center"/>
          </w:tcPr>
          <w:p>
            <w:r>
              <w:rPr>
                <w:b/>
                <w:bCs/>
                <w:sz w:val="13"/>
                <w:szCs w:val="13"/>
              </w:rPr>
              <w:t xml:space="preserve">Duration of relationship + 3 yrs</w:t>
            </w:r>
          </w:p>
        </w:tc>
        <w:tc>
          <w:tcPr>
            <w:tcW w:type="dxa" w:w="2300"/>
            <w:tcMar>
              <w:top w:type="dxa" w:w="80"/>
              <w:left w:type="dxa" w:w="110"/>
              <w:bottom w:type="dxa" w:w="80"/>
              <w:right w:type="dxa" w:w="90"/>
            </w:tcMar>
            <w:vAlign w:val="center"/>
          </w:tcPr>
          <w:p>
            <w:r>
              <w:rPr>
                <w:sz w:val="12"/>
                <w:szCs w:val="12"/>
              </w:rPr>
              <w:t xml:space="preserve">Secure archival, then destruction</w:t>
            </w:r>
          </w:p>
        </w:tc>
      </w:tr>
      <w:tr>
        <w:tc>
          <w:tcPr>
            <w:tcW w:type="dxa" w:w="3200"/>
            <w:tcMar>
              <w:top w:type="dxa" w:w="80"/>
              <w:left w:type="dxa" w:w="110"/>
              <w:bottom w:type="dxa" w:w="80"/>
              <w:right w:type="dxa" w:w="90"/>
            </w:tcMar>
            <w:vAlign w:val="center"/>
          </w:tcPr>
          <w:p>
            <w:r>
              <w:rPr>
                <w:b/>
                <w:bCs/>
                <w:sz w:val="14"/>
                <w:szCs w:val="14"/>
              </w:rPr>
              <w:t xml:space="preserve">Complaint/Grievance File</w:t>
            </w:r>
          </w:p>
        </w:tc>
        <w:tc>
          <w:tcPr>
            <w:tcW w:type="dxa" w:w="1800"/>
            <w:tcMar>
              <w:top w:type="dxa" w:w="80"/>
              <w:left w:type="dxa" w:w="110"/>
              <w:bottom w:type="dxa" w:w="80"/>
              <w:right w:type="dxa" w:w="90"/>
            </w:tcMar>
            <w:vAlign w:val="center"/>
          </w:tcPr>
          <w:p>
            <w:r>
              <w:rPr>
                <w:color w:val="0E2647"/>
                <w:sz w:val="13"/>
                <w:szCs w:val="13"/>
              </w:rPr>
              <w:t xml:space="preserve">CC-03</w:t>
            </w:r>
          </w:p>
        </w:tc>
        <w:tc>
          <w:tcPr>
            <w:tcW w:type="dxa" w:w="1600"/>
            <w:tcMar>
              <w:top w:type="dxa" w:w="80"/>
              <w:left w:type="dxa" w:w="110"/>
              <w:bottom w:type="dxa" w:w="80"/>
              <w:right w:type="dxa" w:w="90"/>
            </w:tcMar>
            <w:vAlign w:val="center"/>
          </w:tcPr>
          <w:p>
            <w:r>
              <w:rPr>
                <w:b/>
                <w:bCs/>
                <w:sz w:val="13"/>
                <w:szCs w:val="13"/>
              </w:rPr>
              <w:t xml:space="preserve">3 yrs min</w:t>
            </w:r>
          </w:p>
        </w:tc>
        <w:tc>
          <w:tcPr>
            <w:tcW w:type="dxa" w:w="2300"/>
            <w:tcMar>
              <w:top w:type="dxa" w:w="80"/>
              <w:left w:type="dxa" w:w="110"/>
              <w:bottom w:type="dxa" w:w="80"/>
              <w:right w:type="dxa" w:w="90"/>
            </w:tcMar>
            <w:vAlign w:val="center"/>
          </w:tcPr>
          <w:p>
            <w:r>
              <w:rPr>
                <w:sz w:val="12"/>
                <w:szCs w:val="12"/>
              </w:rPr>
              <w:t xml:space="preserve">Secure, confidential destruction</w:t>
            </w:r>
          </w:p>
        </w:tc>
      </w:tr>
      <w:tr>
        <w:tc>
          <w:tcPr>
            <w:tcW w:type="dxa" w:w="3200"/>
            <w:tcMar>
              <w:top w:type="dxa" w:w="80"/>
              <w:left w:type="dxa" w:w="110"/>
              <w:bottom w:type="dxa" w:w="80"/>
              <w:right w:type="dxa" w:w="90"/>
            </w:tcMar>
            <w:vAlign w:val="center"/>
          </w:tcPr>
          <w:p>
            <w:r>
              <w:rPr>
                <w:b/>
                <w:bCs/>
                <w:sz w:val="14"/>
                <w:szCs w:val="14"/>
              </w:rPr>
              <w:t xml:space="preserve">Backup Restoration Test Record</w:t>
            </w:r>
          </w:p>
        </w:tc>
        <w:tc>
          <w:tcPr>
            <w:tcW w:type="dxa" w:w="1800"/>
            <w:tcMar>
              <w:top w:type="dxa" w:w="80"/>
              <w:left w:type="dxa" w:w="110"/>
              <w:bottom w:type="dxa" w:w="80"/>
              <w:right w:type="dxa" w:w="90"/>
            </w:tcMar>
            <w:vAlign w:val="center"/>
          </w:tcPr>
          <w:p>
            <w:r>
              <w:rPr>
                <w:color w:val="0E2647"/>
                <w:sz w:val="13"/>
                <w:szCs w:val="13"/>
              </w:rPr>
              <w:t xml:space="preserve">CC-04</w:t>
            </w:r>
          </w:p>
        </w:tc>
        <w:tc>
          <w:tcPr>
            <w:tcW w:type="dxa" w:w="1600"/>
            <w:tcMar>
              <w:top w:type="dxa" w:w="80"/>
              <w:left w:type="dxa" w:w="110"/>
              <w:bottom w:type="dxa" w:w="80"/>
              <w:right w:type="dxa" w:w="90"/>
            </w:tcMar>
            <w:vAlign w:val="center"/>
          </w:tcPr>
          <w:p>
            <w:r>
              <w:rPr>
                <w:b/>
                <w:bCs/>
                <w:sz w:val="13"/>
                <w:szCs w:val="13"/>
              </w:rPr>
              <w:t xml:space="preserve">3 yrs min</w:t>
            </w:r>
          </w:p>
        </w:tc>
        <w:tc>
          <w:tcPr>
            <w:tcW w:type="dxa" w:w="2300"/>
            <w:tcMar>
              <w:top w:type="dxa" w:w="80"/>
              <w:left w:type="dxa" w:w="110"/>
              <w:bottom w:type="dxa" w:w="80"/>
              <w:right w:type="dxa" w:w="90"/>
            </w:tcMar>
            <w:vAlign w:val="center"/>
          </w:tcPr>
          <w:p>
            <w:r>
              <w:rPr>
                <w:sz w:val="12"/>
                <w:szCs w:val="12"/>
              </w:rPr>
              <w:t xml:space="preserve">Routine destruction after retention period</w:t>
            </w:r>
          </w:p>
        </w:tc>
      </w:tr>
    </w:tbl>
    <w:p>
      <w:r>
        <w:br w:type="page"/>
      </w:r>
    </w:p>
    <w:p>
      <w:pPr>
        <w:pStyle w:val="Heading1"/>
        <w:spacing w:after="140" w:before="280"/>
      </w:pPr>
      <w:r>
        <w:rPr>
          <w:b/>
          <w:bCs/>
          <w:color w:val="0E2647"/>
          <w:sz w:val="26"/>
          <w:szCs w:val="26"/>
        </w:rPr>
        <w:t xml:space="preserve">7. Disposition</w:t>
      </w:r>
    </w:p>
    <w:p>
      <w:pPr>
        <w:spacing w:after="80" w:line="250"/>
        <w:ind w:left="260" w:hanging="180"/>
      </w:pPr>
      <w:r>
        <w:rPr>
          <w:sz w:val="19"/>
          <w:szCs w:val="19"/>
        </w:rPr>
        <w:t xml:space="preserve">•  The Quality Manager authorizes destruction of any record once its retention period ends — destruction is never at an individual staff member's own discretion</w:t>
      </w:r>
    </w:p>
    <w:p>
      <w:pPr>
        <w:spacing w:after="80" w:line="250"/>
        <w:ind w:left="260" w:hanging="180"/>
      </w:pPr>
      <w:r>
        <w:rPr>
          <w:sz w:val="19"/>
          <w:szCs w:val="19"/>
        </w:rPr>
        <w:t xml:space="preserve">•  Confidential records (patient-identifiable, personnel, sharps injury) are destroyed by secure, confidential method — shredding or equivalent, never general waste</w:t>
      </w:r>
    </w:p>
    <w:p>
      <w:pPr>
        <w:spacing w:after="80" w:line="250"/>
        <w:ind w:left="260" w:hanging="180"/>
      </w:pPr>
      <w:r>
        <w:rPr>
          <w:sz w:val="19"/>
          <w:szCs w:val="19"/>
        </w:rPr>
        <w:t xml:space="preserve">•  Evidence of destruction (a disposition log entry: what, when, authorized by whom) is itself kept, consistent with real audit expectations</w:t>
      </w:r>
    </w:p>
    <w:p>
      <w:pPr>
        <w:pStyle w:val="Heading1"/>
        <w:spacing w:after="140" w:before="280"/>
      </w:pPr>
      <w:r>
        <w:rPr>
          <w:b/>
          <w:bCs/>
          <w:color w:val="0E2647"/>
          <w:sz w:val="26"/>
          <w:szCs w:val="26"/>
        </w:rPr>
        <w:t xml:space="preserve">8. Governance of This Index</w:t>
      </w:r>
    </w:p>
    <w:p>
      <w:pPr>
        <w:spacing w:after="120" w:line="264"/>
      </w:pPr>
      <w:r>
        <w:rPr>
          <w:sz w:val="20"/>
          <w:szCs w:val="20"/>
        </w:rPr>
        <w:t xml:space="preserve">This index is updated whenever a new SOP introduces a new record type, so it remains the complete, current list — not a static snapshot of Tiers built through this session. Retention periods are reviewed against current Georgian legal requirements at least every three years.</w:t>
      </w:r>
    </w:p>
    <w:p>
      <w:r>
        <w:br w:type="page"/>
      </w:r>
    </w:p>
    <w:p>
      <w:pPr>
        <w:pStyle w:val="Heading1"/>
        <w:spacing w:after="140" w:before="280"/>
      </w:pPr>
      <w:r>
        <w:rPr>
          <w:b/>
          <w:bCs/>
          <w:color w:val="0E2647"/>
          <w:sz w:val="26"/>
          <w:szCs w:val="26"/>
        </w:rPr>
        <w:t xml:space="preserve">References</w:t>
      </w:r>
    </w:p>
    <w:p>
      <w:pPr>
        <w:spacing w:after="100" w:line="240"/>
        <w:ind w:left="340" w:hanging="340"/>
      </w:pPr>
      <w:r>
        <w:rPr>
          <w:b/>
          <w:bCs/>
          <w:color w:val="0E2647"/>
          <w:sz w:val="16"/>
          <w:szCs w:val="16"/>
        </w:rPr>
        <w:t xml:space="preserve">[1] </w:t>
      </w:r>
      <w:r>
        <w:rPr>
          <w:sz w:val="16"/>
          <w:szCs w:val="16"/>
        </w:rPr>
        <w:t xml:space="preserve">Core Business Solutions. Clause 7.5.3 ISO 9001:2015 Explained — preservation of documented information.</w:t>
      </w:r>
    </w:p>
    <w:p>
      <w:pPr>
        <w:spacing w:after="100" w:line="240"/>
        <w:ind w:left="340" w:hanging="340"/>
      </w:pPr>
      <w:r>
        <w:rPr>
          <w:b/>
          <w:bCs/>
          <w:color w:val="0E2647"/>
          <w:sz w:val="16"/>
          <w:szCs w:val="16"/>
        </w:rPr>
        <w:t xml:space="preserve">[2] </w:t>
      </w:r>
      <w:r>
        <w:rPr>
          <w:sz w:val="16"/>
          <w:szCs w:val="16"/>
        </w:rPr>
        <w:t xml:space="preserve">Glocert International. ISO 9001 Documented Information: Documents &amp; Records Required.</w:t>
      </w:r>
    </w:p>
    <w:p>
      <w:pPr>
        <w:spacing w:after="100" w:line="240"/>
        <w:ind w:left="340" w:hanging="340"/>
      </w:pPr>
      <w:r>
        <w:rPr>
          <w:b/>
          <w:bCs/>
          <w:color w:val="0E2647"/>
          <w:sz w:val="16"/>
          <w:szCs w:val="16"/>
        </w:rPr>
        <w:t xml:space="preserve">[3] </w:t>
      </w:r>
      <w:r>
        <w:rPr>
          <w:sz w:val="16"/>
          <w:szCs w:val="16"/>
        </w:rPr>
        <w:t xml:space="preserve">QualityWeb360. How to Correctly Implement the ISO 9001 Records Control Procedure — documents vs. records distinction.</w:t>
      </w:r>
    </w:p>
    <w:p>
      <w:pPr>
        <w:spacing w:after="100" w:line="240"/>
        <w:ind w:left="340" w:hanging="340"/>
      </w:pPr>
      <w:r>
        <w:rPr>
          <w:b/>
          <w:bCs/>
          <w:color w:val="0E2647"/>
          <w:sz w:val="16"/>
          <w:szCs w:val="16"/>
        </w:rPr>
        <w:t xml:space="preserve">[4] </w:t>
      </w:r>
      <w:r>
        <w:rPr>
          <w:sz w:val="16"/>
          <w:szCs w:val="16"/>
        </w:rPr>
        <w:t xml:space="preserve">WorkProcedures. ISO 9001 Document Control Procedure: Clause 7.5 Guide — retention schedule structure, disposition.</w:t>
      </w:r>
    </w:p>
    <w:p>
      <w:pPr>
        <w:spacing w:after="100" w:line="240"/>
        <w:ind w:left="340" w:hanging="340"/>
      </w:pPr>
      <w:r>
        <w:rPr>
          <w:b/>
          <w:bCs/>
          <w:color w:val="0E2647"/>
          <w:sz w:val="16"/>
          <w:szCs w:val="16"/>
        </w:rPr>
        <w:t xml:space="preserve">[5] </w:t>
      </w:r>
      <w:r>
        <w:rPr>
          <w:sz w:val="16"/>
          <w:szCs w:val="16"/>
        </w:rPr>
        <w:t xml:space="preserve">PinnacleQMS. Chapter 6: Retention Schedules — longest-applicable-requirement principle. 2026.</w:t>
      </w:r>
    </w:p>
    <w:p>
      <w:pPr>
        <w:spacing w:after="100" w:line="240"/>
        <w:ind w:left="340" w:hanging="340"/>
      </w:pPr>
      <w:r>
        <w:rPr>
          <w:b/>
          <w:bCs/>
          <w:color w:val="0E2647"/>
          <w:sz w:val="16"/>
          <w:szCs w:val="16"/>
        </w:rPr>
        <w:t xml:space="preserve">[6] </w:t>
      </w:r>
      <w:r>
        <w:rPr>
          <w:sz w:val="16"/>
          <w:szCs w:val="16"/>
        </w:rPr>
        <w:t xml:space="preserve">U.S. Occupational Safety and Health Administration. Needlestick Safety and Prevention Act of 2000 — confidential sharps injury log requirement.</w:t>
      </w:r>
    </w:p>
    <w:sectPr>
      <w:headerReference w:type="default" r:id="rId7"/>
      <w:footerReference w:type="default" r:id="rId8"/>
      <w:pgSz w:w="11906" w:h="16838" w:orient="portrait"/>
      <w:pgMar w:top="1000" w:right="1000" w:bottom="10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i/>
        <w:iCs/>
        <w:color w:val="6B778C"/>
        <w:sz w:val="14"/>
        <w:szCs w:val="14"/>
      </w:rPr>
      <w:t xml:space="preserve">ASF ISO 9001 Ready · Tier 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i/>
        <w:iCs/>
        <w:color w:val="6B778C"/>
        <w:sz w:val="14"/>
        <w:szCs w:val="14"/>
      </w:rPr>
      <w:t xml:space="preserve">[ORGANIZATION NAME] · Records &amp; Forms Index · TIER8-INDEX-001-v1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2026-09-14T13:26:50.771Z</dcterms:created>
  <dcterms:modified xsi:type="dcterms:W3CDTF">2026-09-14T13:26:50.782Z</dcterms:modified>
</cp:coreProperties>
</file>

<file path=docProps/custom.xml><?xml version="1.0" encoding="utf-8"?>
<Properties xmlns="http://schemas.openxmlformats.org/officeDocument/2006/custom-properties" xmlns:vt="http://schemas.openxmlformats.org/officeDocument/2006/docPropsVTypes"/>
</file>