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 w:before="200"/>
        <w:jc w:val="center"/>
      </w:pPr>
      <w:r>
        <w:drawing>
          <wp:inline distT="0" distB="0" distL="0" distR="0">
            <wp:extent cx="952500" cy="885825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 w:before="0"/>
        <w:jc w:val="center"/>
      </w:pPr>
      <w:r>
        <w:rPr>
          <w:b/>
          <w:bCs/>
          <w:color w:val="C9A227"/>
          <w:spacing w:val="20"/>
          <w:sz w:val="20"/>
          <w:szCs w:val="20"/>
        </w:rPr>
        <w:t xml:space="preserve">ACCRÉDITATION SANS FRONTIÈRES</w:t>
      </w:r>
    </w:p>
    <w:p>
      <w:pPr>
        <w:pStyle w:val="Title"/>
        <w:spacing w:after="120" w:before="0"/>
        <w:jc w:val="center"/>
      </w:pPr>
      <w:r>
        <w:rPr>
          <w:b/>
          <w:bCs/>
          <w:color w:val="0E2647"/>
          <w:sz w:val="34"/>
          <w:szCs w:val="34"/>
        </w:rPr>
        <w:t xml:space="preserve">ჩანაწერებისა და ფორმების ინდექსი</w:t>
      </w:r>
    </w:p>
    <w:p>
      <w:pPr>
        <w:spacing w:after="100" w:before="0"/>
        <w:jc w:val="center"/>
      </w:pPr>
      <w:r>
        <w:rPr>
          <w:i/>
          <w:iCs/>
          <w:color w:val="6B778C"/>
          <w:sz w:val="19"/>
          <w:szCs w:val="19"/>
        </w:rPr>
        <w:t xml:space="preserve">ASF ISO 9001 Ready — მე-8 დონის მარეგულირებელი საცნობარო</w:t>
      </w:r>
    </w:p>
    <w:p>
      <w:pPr>
        <w:spacing w:after="0" w:before="260"/>
        <w:jc w:val="center"/>
      </w:pPr>
      <w:r>
        <w:rPr>
          <w:b/>
          <w:bCs/>
          <w:color w:val="0E2647"/>
          <w:sz w:val="19"/>
          <w:szCs w:val="19"/>
        </w:rPr>
        <w:t xml:space="preserve">ამბულატორიული კლინიკის პაკეტი · ვერსია 1</w:t>
      </w:r>
    </w:p>
    <w:p>
      <w:r>
        <w:br w:type="page"/>
      </w:r>
    </w:p>
    <w:p>
      <w:pPr>
        <w:pStyle w:val="Heading1"/>
        <w:spacing w:after="140" w:before="280"/>
      </w:pPr>
      <w:r>
        <w:rPr>
          <w:b/>
          <w:bCs/>
          <w:color w:val="0E2647"/>
          <w:sz w:val="26"/>
          <w:szCs w:val="26"/>
        </w:rPr>
        <w:t xml:space="preserve">დოკუმენტის კონტროლი</w:t>
      </w: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100"/>
              <w:left w:type="dxa" w:w="150"/>
              <w:bottom w:type="dxa" w:w="100"/>
              <w:right w:type="dxa" w:w="100"/>
            </w:tcMar>
            <w:vAlign w:val="center"/>
          </w:tcPr>
          <w:p>
            <w:r>
              <w:rPr>
                <w:b/>
                <w:bCs/>
                <w:color w:val="0E2647"/>
                <w:sz w:val="18"/>
                <w:szCs w:val="18"/>
              </w:rPr>
              <w:t xml:space="preserve">დოკუმენტის დასახელება</w:t>
            </w:r>
          </w:p>
        </w:tc>
        <w:tc>
          <w:tcPr>
            <w:tcW w:type="dxa" w:w="6100"/>
            <w:tcMar>
              <w:top w:type="dxa" w:w="100"/>
              <w:left w:type="dxa" w:w="150"/>
              <w:bottom w:type="dxa" w:w="100"/>
              <w:right w:type="dxa" w:w="100"/>
            </w:tcMar>
            <w:vAlign w:val="center"/>
          </w:tcPr>
          <w:p>
            <w:r>
              <w:rPr>
                <w:color w:val="1A1A1A"/>
                <w:sz w:val="18"/>
                <w:szCs w:val="18"/>
              </w:rPr>
              <w:t xml:space="preserve">ჩანაწერებისა და ფორმების ინდექსი</w:t>
            </w:r>
          </w:p>
        </w:tc>
      </w:tr>
      <w:tr>
        <w:tc>
          <w:tcPr>
            <w:tcW w:type="dxa" w:w="2800"/>
            <w:shd w:fill="F2F4F7" w:val="clear"/>
            <w:tcMar>
              <w:top w:type="dxa" w:w="100"/>
              <w:left w:type="dxa" w:w="150"/>
              <w:bottom w:type="dxa" w:w="100"/>
              <w:right w:type="dxa" w:w="100"/>
            </w:tcMar>
            <w:vAlign w:val="center"/>
          </w:tcPr>
          <w:p>
            <w:r>
              <w:rPr>
                <w:b/>
                <w:bCs/>
                <w:color w:val="0E2647"/>
                <w:sz w:val="18"/>
                <w:szCs w:val="18"/>
              </w:rPr>
              <w:t xml:space="preserve">დოკუმენტის აღნიშვნა</w:t>
            </w:r>
          </w:p>
        </w:tc>
        <w:tc>
          <w:tcPr>
            <w:tcW w:type="dxa" w:w="6100"/>
            <w:tcMar>
              <w:top w:type="dxa" w:w="100"/>
              <w:left w:type="dxa" w:w="150"/>
              <w:bottom w:type="dxa" w:w="100"/>
              <w:right w:type="dxa" w:w="100"/>
            </w:tcMar>
            <w:vAlign w:val="center"/>
          </w:tcPr>
          <w:p>
            <w:r>
              <w:rPr>
                <w:color w:val="1A1A1A"/>
                <w:sz w:val="18"/>
                <w:szCs w:val="18"/>
              </w:rPr>
              <w:t xml:space="preserve">TIER8-INDEX-001-KA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100"/>
              <w:left w:type="dxa" w:w="150"/>
              <w:bottom w:type="dxa" w:w="100"/>
              <w:right w:type="dxa" w:w="100"/>
            </w:tcMar>
            <w:vAlign w:val="center"/>
          </w:tcPr>
          <w:p>
            <w:r>
              <w:rPr>
                <w:b/>
                <w:bCs/>
                <w:color w:val="0E2647"/>
                <w:sz w:val="18"/>
                <w:szCs w:val="18"/>
              </w:rPr>
              <w:t xml:space="preserve">სტატუსი</w:t>
            </w:r>
          </w:p>
        </w:tc>
        <w:tc>
          <w:tcPr>
            <w:tcW w:type="dxa" w:w="6100"/>
            <w:tcMar>
              <w:top w:type="dxa" w:w="100"/>
              <w:left w:type="dxa" w:w="150"/>
              <w:bottom w:type="dxa" w:w="100"/>
              <w:right w:type="dxa" w:w="100"/>
            </w:tcMar>
            <w:vAlign w:val="center"/>
          </w:tcPr>
          <w:p>
            <w:r>
              <w:rPr>
                <w:color w:val="1A1A1A"/>
                <w:sz w:val="18"/>
                <w:szCs w:val="18"/>
              </w:rPr>
              <w:t xml:space="preserve">გამოქვეყნებული</w:t>
            </w:r>
          </w:p>
        </w:tc>
      </w:tr>
      <w:tr>
        <w:tc>
          <w:tcPr>
            <w:tcW w:type="dxa" w:w="2800"/>
            <w:shd w:fill="F2F4F7" w:val="clear"/>
            <w:tcMar>
              <w:top w:type="dxa" w:w="100"/>
              <w:left w:type="dxa" w:w="150"/>
              <w:bottom w:type="dxa" w:w="100"/>
              <w:right w:type="dxa" w:w="100"/>
            </w:tcMar>
            <w:vAlign w:val="center"/>
          </w:tcPr>
          <w:p>
            <w:r>
              <w:rPr>
                <w:b/>
                <w:bCs/>
                <w:color w:val="0E2647"/>
                <w:sz w:val="18"/>
                <w:szCs w:val="18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100"/>
              <w:left w:type="dxa" w:w="150"/>
              <w:bottom w:type="dxa" w:w="100"/>
              <w:right w:type="dxa" w:w="100"/>
            </w:tcMar>
            <w:vAlign w:val="center"/>
          </w:tcPr>
          <w:p>
            <w:r>
              <w:rPr>
                <w:color w:val="1A1A1A"/>
                <w:sz w:val="18"/>
                <w:szCs w:val="18"/>
              </w:rPr>
              <w:t xml:space="preserve">[ORGANIZATION NAME], საქართველო</w:t>
            </w:r>
          </w:p>
        </w:tc>
      </w:tr>
      <w:tr>
        <w:tc>
          <w:tcPr>
            <w:tcW w:type="dxa" w:w="2800"/>
            <w:shd w:fill="F2F4F7" w:val="clear"/>
            <w:tcMar>
              <w:top w:type="dxa" w:w="100"/>
              <w:left w:type="dxa" w:w="150"/>
              <w:bottom w:type="dxa" w:w="100"/>
              <w:right w:type="dxa" w:w="100"/>
            </w:tcMar>
            <w:vAlign w:val="center"/>
          </w:tcPr>
          <w:p>
            <w:r>
              <w:rPr>
                <w:b/>
                <w:bCs/>
                <w:color w:val="0E2647"/>
                <w:sz w:val="18"/>
                <w:szCs w:val="18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100"/>
              <w:left w:type="dxa" w:w="150"/>
              <w:bottom w:type="dxa" w:w="100"/>
              <w:right w:type="dxa" w:w="100"/>
            </w:tcMar>
            <w:vAlign w:val="center"/>
          </w:tcPr>
          <w:p>
            <w:r>
              <w:rPr>
                <w:color w:val="1A1A1A"/>
                <w:sz w:val="18"/>
                <w:szCs w:val="18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100"/>
              <w:left w:type="dxa" w:w="150"/>
              <w:bottom w:type="dxa" w:w="100"/>
              <w:right w:type="dxa" w:w="100"/>
            </w:tcMar>
            <w:vAlign w:val="center"/>
          </w:tcPr>
          <w:p>
            <w:r>
              <w:rPr>
                <w:b/>
                <w:bCs/>
                <w:color w:val="0E2647"/>
                <w:sz w:val="18"/>
                <w:szCs w:val="18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100"/>
              <w:left w:type="dxa" w:w="150"/>
              <w:bottom w:type="dxa" w:w="100"/>
              <w:right w:type="dxa" w:w="100"/>
            </w:tcMar>
            <w:vAlign w:val="center"/>
          </w:tcPr>
          <w:p>
            <w:r>
              <w:rPr>
                <w:color w:val="1A1A1A"/>
                <w:sz w:val="18"/>
                <w:szCs w:val="18"/>
              </w:rPr>
              <w:t xml:space="preserve">[NEXT REVIEW DATE]</w:t>
            </w:r>
          </w:p>
        </w:tc>
      </w:tr>
    </w:tbl>
    <w:p>
      <w:pPr>
        <w:pBdr>
          <w:bottom w:val="single" w:color="D8DEE8" w:sz="6"/>
        </w:pBdr>
        <w:spacing w:after="200" w:before="60"/>
      </w:pPr>
    </w:p>
    <w:p>
      <w:pPr>
        <w:pStyle w:val="Heading1"/>
        <w:spacing w:after="140" w:before="280"/>
      </w:pPr>
      <w:r>
        <w:rPr>
          <w:b/>
          <w:bCs/>
          <w:color w:val="0E2647"/>
          <w:sz w:val="26"/>
          <w:szCs w:val="26"/>
        </w:rPr>
        <w:t xml:space="preserve">სარჩევი</w:t>
      </w:r>
    </w:p>
    <w:p>
      <w:pPr>
        <w:spacing w:after="120" w:line="264"/>
      </w:pPr>
      <w:r>
        <w:rPr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20" w:line="264"/>
      </w:pPr>
      <w:r>
        <w:rPr>
          <w:sz w:val="20"/>
          <w:szCs w:val="20"/>
        </w:rPr>
        <w:t xml:space="preserve">4. დოკუმენტები vs. ჩანაწერები — რეალური განსხვავება · 5. შენახვის პრინციპები</w:t>
      </w:r>
    </w:p>
    <w:p>
      <w:pPr>
        <w:spacing w:after="120" w:line="264"/>
      </w:pPr>
      <w:r>
        <w:rPr>
          <w:sz w:val="20"/>
          <w:szCs w:val="20"/>
        </w:rPr>
        <w:t xml:space="preserve">6. ჩანაწერებისა და ფორმების ინდექსი · 7. განკარგვა</w:t>
      </w:r>
    </w:p>
    <w:p>
      <w:pPr>
        <w:spacing w:after="120" w:line="264"/>
      </w:pPr>
      <w:r>
        <w:rPr>
          <w:sz w:val="20"/>
          <w:szCs w:val="20"/>
        </w:rPr>
        <w:t xml:space="preserve">8. ამ ინდექსის მართვა · წყაროები</w:t>
      </w:r>
    </w:p>
    <w:p>
      <w:r>
        <w:br w:type="page"/>
      </w:r>
    </w:p>
    <w:p>
      <w:pPr>
        <w:pStyle w:val="Heading1"/>
        <w:spacing w:after="140" w:before="280"/>
      </w:pPr>
      <w:r>
        <w:rPr>
          <w:b/>
          <w:bCs/>
          <w:color w:val="0E2647"/>
          <w:sz w:val="26"/>
          <w:szCs w:val="26"/>
        </w:rPr>
        <w:t xml:space="preserve">1. მიზანი</w:t>
      </w:r>
    </w:p>
    <w:p>
      <w:pPr>
        <w:spacing w:after="120" w:line="264"/>
      </w:pPr>
      <w:r>
        <w:rPr>
          <w:sz w:val="20"/>
          <w:szCs w:val="20"/>
        </w:rPr>
        <w:t xml:space="preserve">[ORGANIZATION NAME]-ის ISO 9001 Ready დოკუმენტაციაში წარმოქმნილი ყოველი ჩანაწერისა და ფორმის ერთიანი, ავტორიტეტული ინდექსის მიწოდება, მისი შენახვის ვადითა და განკარგვის წესით, ISO 9001:2015-ის 7.5.3 პუნქტის შესაბამისად [1–2].</w:t>
      </w:r>
    </w:p>
    <w:p>
      <w:pPr>
        <w:pStyle w:val="Heading1"/>
        <w:spacing w:after="140" w:before="280"/>
      </w:pPr>
      <w:r>
        <w:rPr>
          <w:b/>
          <w:bCs/>
          <w:color w:val="0E2647"/>
          <w:sz w:val="26"/>
          <w:szCs w:val="26"/>
        </w:rPr>
        <w:t xml:space="preserve">2. მოქმედების სფერო</w:t>
      </w:r>
    </w:p>
    <w:p>
      <w:pPr>
        <w:spacing w:after="120" w:line="264"/>
      </w:pPr>
      <w:r>
        <w:rPr>
          <w:sz w:val="20"/>
          <w:szCs w:val="20"/>
        </w:rPr>
        <w:t xml:space="preserve">ეს ინდექსი მოიცავს ყოველ ჩანაწერს, რომელიც სახელწოდებით მოხსენიებულია [ORGANIZATION NAME]-ის ISO 9001 Ready პაკეტის 1–7 დონეებში. ის არ ცვლის ცალკეული SOP-ის საკუთარ ინსტრუქციებს, თუ როგორ ივსება ჩანაწერი — ის განსაზღვრავს, რამდენ ხანს ინახება ყოველი ჩანაწერი და როგორ განიკარგება.</w:t>
      </w:r>
    </w:p>
    <w:p>
      <w:pPr>
        <w:pStyle w:val="Heading1"/>
        <w:spacing w:after="140" w:before="280"/>
      </w:pPr>
      <w:r>
        <w:rPr>
          <w:b/>
          <w:bCs/>
          <w:color w:val="0E2647"/>
          <w:sz w:val="26"/>
          <w:szCs w:val="26"/>
        </w:rPr>
        <w:t xml:space="preserve">3. განმარტებები და შემოკლებები</w:t>
      </w:r>
    </w:p>
    <w:p>
      <w:pPr>
        <w:spacing w:after="80" w:line="250"/>
        <w:ind w:left="260" w:hanging="180"/>
      </w:pPr>
      <w:r>
        <w:rPr>
          <w:sz w:val="19"/>
          <w:szCs w:val="19"/>
        </w:rPr>
        <w:t xml:space="preserve">•  ჩანაწერი — დოკუმენტირებული ინფორმაცია, რომელიც აძლევს ობიექტურ მტკიცებულებას შესრულებული აქტივობის ან მიღწეული შედეგის შესახებ, განსხვავებული კონტროლირებადი დოკუმენტისგან (პროცედურისგან) [3–4]</w:t>
      </w:r>
    </w:p>
    <w:p>
      <w:pPr>
        <w:spacing w:after="80" w:line="250"/>
        <w:ind w:left="260" w:hanging="180"/>
      </w:pPr>
      <w:r>
        <w:rPr>
          <w:sz w:val="19"/>
          <w:szCs w:val="19"/>
        </w:rPr>
        <w:t xml:space="preserve">•  განკარგვა — განსაზღვრული ქმედება, რომელიც ტარდება ჩანაწერის შენახვის ვადის დასრულების შემდეგ: უსაფრთხო განადგურება, არქივირება ან გადაცემა [4–5]</w:t>
      </w:r>
    </w:p>
    <w:p>
      <w:pPr>
        <w:pStyle w:val="Heading1"/>
        <w:spacing w:after="140" w:before="280"/>
      </w:pPr>
      <w:r>
        <w:rPr>
          <w:b/>
          <w:bCs/>
          <w:color w:val="0E2647"/>
          <w:sz w:val="26"/>
          <w:szCs w:val="26"/>
        </w:rPr>
        <w:t xml:space="preserve">4. დოკუმენტები vs. ჩანაწერები — რეალური განსხვავება</w:t>
      </w:r>
    </w:p>
    <w:p>
      <w:pPr>
        <w:spacing w:after="120" w:line="264"/>
      </w:pPr>
      <w:r>
        <w:rPr>
          <w:sz w:val="20"/>
          <w:szCs w:val="20"/>
        </w:rPr>
        <w:t xml:space="preserve">დოკუმენტი (ამ კლინიკის პროცედურები) და ჩანაწერი (მტკიცებულება, რომ პროცედურას ჭეშმარიტად მიჰყვნენ) იმართება ჭეშმარიტად განსხვავებული წესებით, და მათი ერთნაირად მოპყრობა არის რეალური, გავრცელებული შეცდომა [3]. დოკუმენტს სჭირდება ვერსიის კონტროლი და დამტკიცება გამოყენებამდე — ის იცვლება დროთა განმავლობაში, კლინიკის პრაქტიკის განვითარებასთან ერთად. ჩანაწერს სჭირდება იდენტიფიცირება, დაცვა, განსაზღვრული შენახვის ვადა და მკაფიო განკარგვის წესი — ის არასდროს არ უნდა შეიცვალოს ან „ვერსირდეს“ ფაქტის შემდეგ, ვინაიდან ჩანაწერის მთელი ღირებულება არის ის, რომ ის ასახავს ზუსტად რა მოხდა იმ დროს [3].</w:t>
      </w:r>
    </w:p>
    <w:p>
      <w:pPr>
        <w:pBdr>
          <w:left w:val="single" w:color="C9A227" w:sz="16" w:space="10"/>
        </w:pBdr>
        <w:shd w:fill="FFF8E7" w:val="clear"/>
        <w:spacing w:after="180" w:before="120"/>
      </w:pPr>
      <w:r>
        <w:rPr>
          <w:i/>
          <w:iCs/>
          <w:color w:val="5C4A0A"/>
          <w:sz w:val="19"/>
          <w:szCs w:val="19"/>
        </w:rPr>
        <w:t xml:space="preserve">ჩანაწერზე დოკუმენტის კონტროლის გამოყენება — ძველი ჩანაწერის რედაქტირება უკუქცევით მის გასასწორებლად — ზუსტად ის არის, რაც არ უნდა მოხდეს. ჩანაწერი, რომელიც საჭიროებს გასწორებას, სწორდება ახალი, დათარიღებული ჩანაწერით ან დანართით, არასდროს ორიგინალის შეცვლით [3].</w:t>
      </w:r>
    </w:p>
    <w:p>
      <w:pPr>
        <w:pStyle w:val="Heading1"/>
        <w:spacing w:after="140" w:before="280"/>
      </w:pPr>
      <w:r>
        <w:rPr>
          <w:b/>
          <w:bCs/>
          <w:color w:val="0E2647"/>
          <w:sz w:val="26"/>
          <w:szCs w:val="26"/>
        </w:rPr>
        <w:t xml:space="preserve">5. შენახვის პრინციპები</w:t>
      </w:r>
    </w:p>
    <w:p>
      <w:pPr>
        <w:spacing w:after="120" w:line="264"/>
      </w:pPr>
      <w:r>
        <w:rPr>
          <w:sz w:val="20"/>
          <w:szCs w:val="20"/>
        </w:rPr>
        <w:t xml:space="preserve">ISO 9001 ადგენს რეალურ მინიმუმს მინიმუმ 3 წლისთვის ზოგადი ხარისხის მართვის ჩანაწერებისთვის, მაგრამ ეს არის ფსკერი, არა ჭერი — ნებისმიერი კონკრეტული ჩანაწერის რეალური, სავალდებულო შენახვის ვადაა ყველაზე გრძელი შემდეგთაგან: ISO 9001-ის ფსკერი, ნებისმიერი გამოსაყენებელი ქართული სამართლებრივი ან მარეგულირებელი მოთხოვნა, და ნებისმიერი კონკრეტული შენახვის ვადა, რომელიც უკვე დადგენილია ამ ჩანაწერის საკუთარ მმართველ SOP-ში (მაგ., PED-04-ის ქვეშ ციფრული მონაცემთა ჩამწერის ჩამოტვირთვის ჩანაწერები, რომლებსაც აქვთ კონკრეტული 3-წლიანი მინიმუმი) [4–5].</w:t>
      </w:r>
    </w:p>
    <w:p>
      <w:pPr>
        <w:pBdr>
          <w:left w:val="single" w:color="C9A227" w:sz="16" w:space="10"/>
        </w:pBdr>
        <w:shd w:fill="FFF8E7" w:val="clear"/>
        <w:spacing w:after="180" w:before="120"/>
      </w:pPr>
      <w:r>
        <w:rPr>
          <w:i/>
          <w:iCs/>
          <w:color w:val="5C4A0A"/>
          <w:sz w:val="19"/>
          <w:szCs w:val="19"/>
        </w:rPr>
        <w:t xml:space="preserve">სადაც კონკრეტული SOP უკვე აცხადებს შენახვის ვადას თავისი ერთ-ერთი ჩანაწერისთვის, ეს ვადა მართავს — ეს ინდექსი აკომპილირებს ამ არსებულ ვალდებულებებს ერთ ადგილას, მათ გადალახვის ნაცვლად [5].</w:t>
      </w:r>
    </w:p>
    <w:p>
      <w:r>
        <w:br w:type="page"/>
      </w:r>
    </w:p>
    <w:p>
      <w:pPr>
        <w:pStyle w:val="Heading1"/>
        <w:spacing w:after="140" w:before="280"/>
      </w:pPr>
      <w:r>
        <w:rPr>
          <w:b/>
          <w:bCs/>
          <w:color w:val="0E2647"/>
          <w:sz w:val="26"/>
          <w:szCs w:val="26"/>
        </w:rPr>
        <w:t xml:space="preserve">6. ჩანაწერებისა და ფორმების ინდექსი</w:t>
      </w:r>
    </w:p>
    <w:p>
      <w:pPr>
        <w:spacing w:after="120" w:line="264"/>
      </w:pPr>
      <w:r>
        <w:rPr>
          <w:sz w:val="20"/>
          <w:szCs w:val="20"/>
        </w:rPr>
        <w:t xml:space="preserve">ყოველი ქვემოთ ჩანაწერი ორგანიზებულია იმ დონისა და SOP-ის მიხედვით, რომელიც მას წარმოქმნის.</w:t>
      </w: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200"/>
        <w:gridCol w:w="1800"/>
        <w:gridCol w:w="1600"/>
        <w:gridCol w:w="2300"/>
      </w:tblGrid>
      <w:tr>
        <w:tc>
          <w:tcPr>
            <w:shd w:fill="0E2647" w:val="clear"/>
            <w:tcMar>
              <w:top w:type="dxa" w:w="90"/>
              <w:left w:type="dxa" w:w="110"/>
              <w:bottom w:type="dxa" w:w="90"/>
              <w:right w:type="dxa" w:w="9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ჩანაწერი</w:t>
            </w:r>
          </w:p>
        </w:tc>
        <w:tc>
          <w:tcPr>
            <w:shd w:fill="0E2647" w:val="clear"/>
            <w:tcMar>
              <w:top w:type="dxa" w:w="90"/>
              <w:left w:type="dxa" w:w="110"/>
              <w:bottom w:type="dxa" w:w="90"/>
              <w:right w:type="dxa" w:w="9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მფლობელი SOP</w:t>
            </w:r>
          </w:p>
        </w:tc>
        <w:tc>
          <w:tcPr>
            <w:shd w:fill="0E2647" w:val="clear"/>
            <w:tcMar>
              <w:top w:type="dxa" w:w="90"/>
              <w:left w:type="dxa" w:w="110"/>
              <w:bottom w:type="dxa" w:w="90"/>
              <w:right w:type="dxa" w:w="9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შენახვა</w:t>
            </w:r>
          </w:p>
        </w:tc>
        <w:tc>
          <w:tcPr>
            <w:shd w:fill="0E2647" w:val="clear"/>
            <w:tcMar>
              <w:top w:type="dxa" w:w="90"/>
              <w:left w:type="dxa" w:w="110"/>
              <w:bottom w:type="dxa" w:w="90"/>
              <w:right w:type="dxa" w:w="9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განკარგვა</w:t>
            </w:r>
          </w:p>
        </w:tc>
      </w:tr>
      <w:tr>
        <w:tc>
          <w:tcPr>
            <w:gridSpan w:val="4"/>
            <w:shd w:fill="E8EDF5" w:val="clear"/>
            <w:tcMar>
              <w:top w:type="dxa" w:w="70"/>
              <w:left w:type="dxa" w:w="110"/>
              <w:bottom w:type="dxa" w:w="70"/>
              <w:right w:type="dxa" w:w="90"/>
            </w:tcMar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მე-2 დონე — მართვა</w:t>
            </w:r>
          </w:p>
        </w:tc>
      </w:tr>
      <w:tr>
        <w:tc>
          <w:tcPr>
            <w:tcW w:type="dxa" w:w="32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ინციდენტების ჟურნალი</w:t>
            </w:r>
          </w:p>
        </w:tc>
        <w:tc>
          <w:tcPr>
            <w:tcW w:type="dxa" w:w="18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color w:val="0E2647"/>
                <w:sz w:val="12"/>
                <w:szCs w:val="12"/>
              </w:rPr>
              <w:t xml:space="preserve">SOP-PS-02</w:t>
            </w:r>
          </w:p>
        </w:tc>
        <w:tc>
          <w:tcPr>
            <w:tcW w:type="dxa" w:w="16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sz w:val="12"/>
                <w:szCs w:val="12"/>
              </w:rPr>
              <w:t xml:space="preserve">მინ. 3 წელი</w:t>
            </w:r>
          </w:p>
        </w:tc>
        <w:tc>
          <w:tcPr>
            <w:tcW w:type="dxa" w:w="23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sz w:val="11"/>
                <w:szCs w:val="11"/>
              </w:rPr>
              <w:t xml:space="preserve">უსაფრთხო არქივირება, შემდეგ განადგურება; სენტინელური მოვლენის ჩანაწერები ინახება უფრო ხანგრძლივად დირექტორის გადაწყვეტილებით</w:t>
            </w:r>
          </w:p>
        </w:tc>
      </w:tr>
      <w:tr>
        <w:tc>
          <w:tcPr>
            <w:tcW w:type="dxa" w:w="32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შეუსაბამობის/CAPA ჟურნალი</w:t>
            </w:r>
          </w:p>
        </w:tc>
        <w:tc>
          <w:tcPr>
            <w:tcW w:type="dxa" w:w="18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color w:val="0E2647"/>
                <w:sz w:val="12"/>
                <w:szCs w:val="12"/>
              </w:rPr>
              <w:t>GOV-01</w:t>
            </w:r>
          </w:p>
        </w:tc>
        <w:tc>
          <w:tcPr>
            <w:tcW w:type="dxa" w:w="16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sz w:val="12"/>
                <w:szCs w:val="12"/>
              </w:rPr>
              <w:t xml:space="preserve">მინ. 3 წელი</w:t>
            </w:r>
          </w:p>
        </w:tc>
        <w:tc>
          <w:tcPr>
            <w:tcW w:type="dxa" w:w="23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sz w:val="11"/>
                <w:szCs w:val="11"/>
              </w:rPr>
              <w:t xml:space="preserve">უსაფრთხო არქივირება, შემდეგ განადგურება</w:t>
            </w:r>
          </w:p>
        </w:tc>
      </w:tr>
      <w:tr>
        <w:tc>
          <w:tcPr>
            <w:gridSpan w:val="4"/>
            <w:shd w:fill="E8EDF5" w:val="clear"/>
            <w:tcMar>
              <w:top w:type="dxa" w:w="70"/>
              <w:left w:type="dxa" w:w="110"/>
              <w:bottom w:type="dxa" w:w="70"/>
              <w:right w:type="dxa" w:w="90"/>
            </w:tcMar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მე-3 დონე — ზოგადი კლინიკური</w:t>
            </w:r>
          </w:p>
        </w:tc>
      </w:tr>
      <w:tr>
        <w:tc>
          <w:tcPr>
            <w:tcW w:type="dxa" w:w="32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გარემოს დასუფთავების ჟურნალი</w:t>
            </w:r>
          </w:p>
        </w:tc>
        <w:tc>
          <w:tcPr>
            <w:tcW w:type="dxa" w:w="18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color w:val="0E2647"/>
                <w:sz w:val="12"/>
                <w:szCs w:val="12"/>
              </w:rPr>
              <w:t xml:space="preserve">SOP-IPC-01</w:t>
            </w:r>
          </w:p>
        </w:tc>
        <w:tc>
          <w:tcPr>
            <w:tcW w:type="dxa" w:w="16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sz w:val="12"/>
                <w:szCs w:val="12"/>
              </w:rPr>
              <w:t xml:space="preserve">მინ. 3 წელი</w:t>
            </w:r>
          </w:p>
        </w:tc>
        <w:tc>
          <w:tcPr>
            <w:tcW w:type="dxa" w:w="23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sz w:val="11"/>
                <w:szCs w:val="11"/>
              </w:rPr>
              <w:t xml:space="preserve">რუტინული განადგურება შენახვის ვადის შემდეგ</w:t>
            </w:r>
          </w:p>
        </w:tc>
      </w:tr>
      <w:tr>
        <w:tc>
          <w:tcPr>
            <w:tcW w:type="dxa" w:w="32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ბასრი საგნებით დაზიანების ჟურნალი</w:t>
            </w:r>
          </w:p>
        </w:tc>
        <w:tc>
          <w:tcPr>
            <w:tcW w:type="dxa" w:w="18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color w:val="0E2647"/>
                <w:sz w:val="12"/>
                <w:szCs w:val="12"/>
              </w:rPr>
              <w:t xml:space="preserve">SOP-IPC-08</w:t>
            </w:r>
          </w:p>
        </w:tc>
        <w:tc>
          <w:tcPr>
            <w:tcW w:type="dxa" w:w="16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sz w:val="12"/>
                <w:szCs w:val="12"/>
              </w:rPr>
              <w:t xml:space="preserve">მინ. 3 წელი (კონფიდენციალური)</w:t>
            </w:r>
          </w:p>
        </w:tc>
        <w:tc>
          <w:tcPr>
            <w:tcW w:type="dxa" w:w="23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sz w:val="11"/>
                <w:szCs w:val="11"/>
              </w:rPr>
              <w:t xml:space="preserve">უსაფრთხო, კონფიდენციალური განადგურება [6]</w:t>
            </w:r>
          </w:p>
        </w:tc>
      </w:tr>
      <w:tr>
        <w:tc>
          <w:tcPr>
            <w:tcW w:type="dxa" w:w="32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სტერილიზაციის ჟურნალი (BI/CI შედეგები)</w:t>
            </w:r>
          </w:p>
        </w:tc>
        <w:tc>
          <w:tcPr>
            <w:tcW w:type="dxa" w:w="18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color w:val="0E2647"/>
                <w:sz w:val="12"/>
                <w:szCs w:val="12"/>
              </w:rPr>
              <w:t xml:space="preserve">SOP-STR-01</w:t>
            </w:r>
          </w:p>
        </w:tc>
        <w:tc>
          <w:tcPr>
            <w:tcW w:type="dxa" w:w="16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sz w:val="12"/>
                <w:szCs w:val="12"/>
              </w:rPr>
              <w:t xml:space="preserve">მინ. 3 წელი</w:t>
            </w:r>
          </w:p>
        </w:tc>
        <w:tc>
          <w:tcPr>
            <w:tcW w:type="dxa" w:w="23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sz w:val="11"/>
                <w:szCs w:val="11"/>
              </w:rPr>
              <w:t xml:space="preserve">უსაფრთხო არქივირება, შემდეგ განადგურება</w:t>
            </w:r>
          </w:p>
        </w:tc>
      </w:tr>
      <w:tr>
        <w:tc>
          <w:tcPr>
            <w:tcW w:type="dxa" w:w="32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კრედენშირების ფაილი</w:t>
            </w:r>
          </w:p>
        </w:tc>
        <w:tc>
          <w:tcPr>
            <w:tcW w:type="dxa" w:w="18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color w:val="0E2647"/>
                <w:sz w:val="12"/>
                <w:szCs w:val="12"/>
              </w:rPr>
              <w:t xml:space="preserve">SOP-HR-01</w:t>
            </w:r>
          </w:p>
        </w:tc>
        <w:tc>
          <w:tcPr>
            <w:tcW w:type="dxa" w:w="16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sz w:val="12"/>
                <w:szCs w:val="12"/>
              </w:rPr>
              <w:t xml:space="preserve">დასაქმების ხანგრძლივობა + 3 წელი</w:t>
            </w:r>
          </w:p>
        </w:tc>
        <w:tc>
          <w:tcPr>
            <w:tcW w:type="dxa" w:w="23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sz w:val="11"/>
                <w:szCs w:val="11"/>
              </w:rPr>
              <w:t xml:space="preserve">უსაფრთხო, კონფიდენციალური განადგურება</w:t>
            </w:r>
          </w:p>
        </w:tc>
      </w:tr>
      <w:tr>
        <w:tc>
          <w:tcPr>
            <w:tcW w:type="dxa" w:w="32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წვდომის ჟურნალი (პაციენტის ჩანაწერები)</w:t>
            </w:r>
          </w:p>
        </w:tc>
        <w:tc>
          <w:tcPr>
            <w:tcW w:type="dxa" w:w="18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color w:val="0E2647"/>
                <w:sz w:val="12"/>
                <w:szCs w:val="12"/>
              </w:rPr>
              <w:t xml:space="preserve">SOP-HIM-01</w:t>
            </w:r>
          </w:p>
        </w:tc>
        <w:tc>
          <w:tcPr>
            <w:tcW w:type="dxa" w:w="16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sz w:val="12"/>
                <w:szCs w:val="12"/>
              </w:rPr>
              <w:t xml:space="preserve">მინ. 3 წელი</w:t>
            </w:r>
          </w:p>
        </w:tc>
        <w:tc>
          <w:tcPr>
            <w:tcW w:type="dxa" w:w="23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sz w:val="11"/>
                <w:szCs w:val="11"/>
              </w:rPr>
              <w:t xml:space="preserve">უსაფრთხო, კონფიდენციალური განადგურება</w:t>
            </w:r>
          </w:p>
        </w:tc>
      </w:tr>
      <w:tr>
        <w:tc>
          <w:tcPr>
            <w:gridSpan w:val="4"/>
            <w:shd w:fill="E8EDF5" w:val="clear"/>
            <w:tcMar>
              <w:top w:type="dxa" w:w="70"/>
              <w:left w:type="dxa" w:w="110"/>
              <w:bottom w:type="dxa" w:w="70"/>
              <w:right w:type="dxa" w:w="90"/>
            </w:tcMar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მე-4 დონე — ლაბორატორია და დიაგნოსტიკა</w:t>
            </w:r>
          </w:p>
        </w:tc>
      </w:tr>
      <w:tr>
        <w:tc>
          <w:tcPr>
            <w:tcW w:type="dxa" w:w="32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ყოველდღიური QC ჟურნალი</w:t>
            </w:r>
          </w:p>
        </w:tc>
        <w:tc>
          <w:tcPr>
            <w:tcW w:type="dxa" w:w="18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color w:val="0E2647"/>
                <w:sz w:val="12"/>
                <w:szCs w:val="12"/>
              </w:rPr>
              <w:t xml:space="preserve">SOP-LAB-02</w:t>
            </w:r>
          </w:p>
        </w:tc>
        <w:tc>
          <w:tcPr>
            <w:tcW w:type="dxa" w:w="16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sz w:val="12"/>
                <w:szCs w:val="12"/>
              </w:rPr>
              <w:t xml:space="preserve">მინ. 3 წელი</w:t>
            </w:r>
          </w:p>
        </w:tc>
        <w:tc>
          <w:tcPr>
            <w:tcW w:type="dxa" w:w="23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sz w:val="11"/>
                <w:szCs w:val="11"/>
              </w:rPr>
              <w:t xml:space="preserve">უსაფრთხო არქივირება, შემდეგ განადგურება</w:t>
            </w:r>
          </w:p>
        </w:tc>
      </w:tr>
      <w:tr>
        <w:tc>
          <w:tcPr>
            <w:tcW w:type="dxa" w:w="32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EQA/PT შედეგები</w:t>
            </w:r>
          </w:p>
        </w:tc>
        <w:tc>
          <w:tcPr>
            <w:tcW w:type="dxa" w:w="18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color w:val="0E2647"/>
                <w:sz w:val="12"/>
                <w:szCs w:val="12"/>
              </w:rPr>
              <w:t xml:space="preserve">SOP-LAB-02</w:t>
            </w:r>
          </w:p>
        </w:tc>
        <w:tc>
          <w:tcPr>
            <w:tcW w:type="dxa" w:w="16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sz w:val="12"/>
                <w:szCs w:val="12"/>
              </w:rPr>
              <w:t xml:space="preserve">მინ. 3 წელი</w:t>
            </w:r>
          </w:p>
        </w:tc>
        <w:tc>
          <w:tcPr>
            <w:tcW w:type="dxa" w:w="23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sz w:val="11"/>
                <w:szCs w:val="11"/>
              </w:rPr>
              <w:t xml:space="preserve">უსაფრთხო არქივირება, შემდეგ განადგურება</w:t>
            </w:r>
          </w:p>
        </w:tc>
      </w:tr>
      <w:tr>
        <w:tc>
          <w:tcPr>
            <w:tcW w:type="dxa" w:w="32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ნიმუშის უარყოფის ჟურნალი</w:t>
            </w:r>
          </w:p>
        </w:tc>
        <w:tc>
          <w:tcPr>
            <w:tcW w:type="dxa" w:w="18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color w:val="0E2647"/>
                <w:sz w:val="12"/>
                <w:szCs w:val="12"/>
              </w:rPr>
              <w:t xml:space="preserve">SOP-LAB-03</w:t>
            </w:r>
          </w:p>
        </w:tc>
        <w:tc>
          <w:tcPr>
            <w:tcW w:type="dxa" w:w="16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sz w:val="12"/>
                <w:szCs w:val="12"/>
              </w:rPr>
              <w:t xml:space="preserve">მინ. 3 წელი</w:t>
            </w:r>
          </w:p>
        </w:tc>
        <w:tc>
          <w:tcPr>
            <w:tcW w:type="dxa" w:w="23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sz w:val="11"/>
                <w:szCs w:val="11"/>
              </w:rPr>
              <w:t xml:space="preserve">უსაფრთხო არქივირება, შემდეგ განადგურება</w:t>
            </w:r>
          </w:p>
        </w:tc>
      </w:tr>
      <w:tr>
        <w:tc>
          <w:tcPr>
            <w:tcW w:type="dxa" w:w="32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ვიზუალიზაციის აღჭურვილობის QA ჟურნალი</w:t>
            </w:r>
          </w:p>
        </w:tc>
        <w:tc>
          <w:tcPr>
            <w:tcW w:type="dxa" w:w="18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color w:val="0E2647"/>
                <w:sz w:val="12"/>
                <w:szCs w:val="12"/>
              </w:rPr>
              <w:t xml:space="preserve">SOP-LAB-04</w:t>
            </w:r>
          </w:p>
        </w:tc>
        <w:tc>
          <w:tcPr>
            <w:tcW w:type="dxa" w:w="16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sz w:val="12"/>
                <w:szCs w:val="12"/>
              </w:rPr>
              <w:t xml:space="preserve">მინ. 3 წელი</w:t>
            </w:r>
          </w:p>
        </w:tc>
        <w:tc>
          <w:tcPr>
            <w:tcW w:type="dxa" w:w="23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sz w:val="11"/>
                <w:szCs w:val="11"/>
              </w:rPr>
              <w:t xml:space="preserve">უსაფრთხო არქივირება, შემდეგ განადგურება</w:t>
            </w:r>
          </w:p>
        </w:tc>
      </w:tr>
      <w:tr>
        <w:tc>
          <w:tcPr>
            <w:gridSpan w:val="4"/>
            <w:shd w:fill="E8EDF5" w:val="clear"/>
            <w:tcMar>
              <w:top w:type="dxa" w:w="70"/>
              <w:left w:type="dxa" w:w="110"/>
              <w:bottom w:type="dxa" w:w="70"/>
              <w:right w:type="dxa" w:w="90"/>
            </w:tcMar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მე-5 დონე — ონკოლოგია</w:t>
            </w:r>
          </w:p>
        </w:tc>
      </w:tr>
      <w:tr>
        <w:tc>
          <w:tcPr>
            <w:tcW w:type="dxa" w:w="32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ექსტრავაზაციის დოკუმენტაცია</w:t>
            </w:r>
          </w:p>
        </w:tc>
        <w:tc>
          <w:tcPr>
            <w:tcW w:type="dxa" w:w="18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color w:val="0E2647"/>
                <w:sz w:val="12"/>
                <w:szCs w:val="12"/>
              </w:rPr>
              <w:t xml:space="preserve">ONC-02</w:t>
            </w:r>
          </w:p>
        </w:tc>
        <w:tc>
          <w:tcPr>
            <w:tcW w:type="dxa" w:w="16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sz w:val="12"/>
                <w:szCs w:val="12"/>
              </w:rPr>
              <w:t xml:space="preserve">მინ. 3 წელი (კლინიკური ჩანაწერი)</w:t>
            </w:r>
          </w:p>
        </w:tc>
        <w:tc>
          <w:tcPr>
            <w:tcW w:type="dxa" w:w="23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sz w:val="11"/>
                <w:szCs w:val="11"/>
              </w:rPr>
              <w:t xml:space="preserve">ინახება პაციენტის კლინიკურ ჩანაწერთან ერთად</w:t>
            </w:r>
          </w:p>
        </w:tc>
      </w:tr>
      <w:tr>
        <w:tc>
          <w:tcPr>
            <w:tcW w:type="dxa" w:w="32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ონკოლოგიური თანხმობა/ფერტილობის განხილვის ჩანაწერი</w:t>
            </w:r>
          </w:p>
        </w:tc>
        <w:tc>
          <w:tcPr>
            <w:tcW w:type="dxa" w:w="18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color w:val="0E2647"/>
                <w:sz w:val="12"/>
                <w:szCs w:val="12"/>
              </w:rPr>
              <w:t xml:space="preserve">ONC-03</w:t>
            </w:r>
          </w:p>
        </w:tc>
        <w:tc>
          <w:tcPr>
            <w:tcW w:type="dxa" w:w="16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sz w:val="12"/>
                <w:szCs w:val="12"/>
              </w:rPr>
              <w:t xml:space="preserve">მინ. 3 წელი (კლინიკური ჩანაწერი)</w:t>
            </w:r>
          </w:p>
        </w:tc>
        <w:tc>
          <w:tcPr>
            <w:tcW w:type="dxa" w:w="23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sz w:val="11"/>
                <w:szCs w:val="11"/>
              </w:rPr>
              <w:t xml:space="preserve">ინახება პაციენტის კლინიკურ ჩანაწერთან ერთად</w:t>
            </w:r>
          </w:p>
        </w:tc>
      </w:tr>
      <w:tr>
        <w:tc>
          <w:tcPr>
            <w:tcW w:type="dxa" w:w="32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საშიში ნარჩენების მანიფესტი</w:t>
            </w:r>
          </w:p>
        </w:tc>
        <w:tc>
          <w:tcPr>
            <w:tcW w:type="dxa" w:w="18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color w:val="0E2647"/>
                <w:sz w:val="12"/>
                <w:szCs w:val="12"/>
              </w:rPr>
              <w:t xml:space="preserve">ONC-04</w:t>
            </w:r>
          </w:p>
        </w:tc>
        <w:tc>
          <w:tcPr>
            <w:tcW w:type="dxa" w:w="16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sz w:val="12"/>
                <w:szCs w:val="12"/>
              </w:rPr>
              <w:t xml:space="preserve">მინ. 3 წელი</w:t>
            </w:r>
          </w:p>
        </w:tc>
        <w:tc>
          <w:tcPr>
            <w:tcW w:type="dxa" w:w="23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sz w:val="11"/>
                <w:szCs w:val="11"/>
              </w:rPr>
              <w:t xml:space="preserve">უსაფრთხო არქივირება ნარჩენების კონტრაქტორის მოთხოვნების მიხედვით</w:t>
            </w:r>
          </w:p>
        </w:tc>
      </w:tr>
      <w:tr>
        <w:tc>
          <w:tcPr>
            <w:gridSpan w:val="4"/>
            <w:shd w:fill="E8EDF5" w:val="clear"/>
            <w:tcMar>
              <w:top w:type="dxa" w:w="70"/>
              <w:left w:type="dxa" w:w="110"/>
              <w:bottom w:type="dxa" w:w="70"/>
              <w:right w:type="dxa" w:w="90"/>
            </w:tcMar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მე-6 დონე — პედიატრია</w:t>
            </w:r>
          </w:p>
        </w:tc>
      </w:tr>
      <w:tr>
        <w:tc>
          <w:tcPr>
            <w:tcW w:type="dxa" w:w="32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პედიატრიული თანხმობა/assent ჩანაწერი</w:t>
            </w:r>
          </w:p>
        </w:tc>
        <w:tc>
          <w:tcPr>
            <w:tcW w:type="dxa" w:w="18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color w:val="0E2647"/>
                <w:sz w:val="12"/>
                <w:szCs w:val="12"/>
              </w:rPr>
              <w:t xml:space="preserve">PED-01</w:t>
            </w:r>
          </w:p>
        </w:tc>
        <w:tc>
          <w:tcPr>
            <w:tcW w:type="dxa" w:w="16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sz w:val="12"/>
                <w:szCs w:val="12"/>
              </w:rPr>
              <w:t xml:space="preserve">მინ. 3 წელი (კლინიკური ჩანაწერი)</w:t>
            </w:r>
          </w:p>
        </w:tc>
        <w:tc>
          <w:tcPr>
            <w:tcW w:type="dxa" w:w="23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sz w:val="11"/>
                <w:szCs w:val="11"/>
              </w:rPr>
              <w:t xml:space="preserve">ინახება პაციენტის კლინიკურ ჩანაწერთან ერთად</w:t>
            </w:r>
          </w:p>
        </w:tc>
      </w:tr>
      <w:tr>
        <w:tc>
          <w:tcPr>
            <w:tcW w:type="dxa" w:w="32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მაცივრის/საყინულის ტემპერატურის ჟურნალი</w:t>
            </w:r>
          </w:p>
        </w:tc>
        <w:tc>
          <w:tcPr>
            <w:tcW w:type="dxa" w:w="18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color w:val="0E2647"/>
                <w:sz w:val="12"/>
                <w:szCs w:val="12"/>
              </w:rPr>
              <w:t xml:space="preserve">PED-04</w:t>
            </w:r>
          </w:p>
        </w:tc>
        <w:tc>
          <w:tcPr>
            <w:tcW w:type="dxa" w:w="16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sz w:val="12"/>
                <w:szCs w:val="12"/>
              </w:rPr>
              <w:t xml:space="preserve">მინ. 3 წელი</w:t>
            </w:r>
          </w:p>
        </w:tc>
        <w:tc>
          <w:tcPr>
            <w:tcW w:type="dxa" w:w="23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sz w:val="11"/>
                <w:szCs w:val="11"/>
              </w:rPr>
              <w:t xml:space="preserve">უსაფრთხო არქივირება, შემდეგ განადგურება</w:t>
            </w:r>
          </w:p>
        </w:tc>
      </w:tr>
      <w:tr>
        <w:tc>
          <w:tcPr>
            <w:tcW w:type="dxa" w:w="32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DDL ჩამოტვირთვის ჩანაწერები</w:t>
            </w:r>
          </w:p>
        </w:tc>
        <w:tc>
          <w:tcPr>
            <w:tcW w:type="dxa" w:w="18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color w:val="0E2647"/>
                <w:sz w:val="12"/>
                <w:szCs w:val="12"/>
              </w:rPr>
              <w:t xml:space="preserve">PED-04</w:t>
            </w:r>
          </w:p>
        </w:tc>
        <w:tc>
          <w:tcPr>
            <w:tcW w:type="dxa" w:w="16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sz w:val="12"/>
                <w:szCs w:val="12"/>
              </w:rPr>
              <w:t xml:space="preserve">მინ. 3 წელი (კონკრეტული მოთხოვნა)</w:t>
            </w:r>
          </w:p>
        </w:tc>
        <w:tc>
          <w:tcPr>
            <w:tcW w:type="dxa" w:w="23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sz w:val="11"/>
                <w:szCs w:val="11"/>
              </w:rPr>
              <w:t xml:space="preserve">უსაფრთხო არქივირება PED-04-ის კონკრეტული შენახვის წესის მიხედვით [5]</w:t>
            </w:r>
          </w:p>
        </w:tc>
      </w:tr>
      <w:tr>
        <w:tc>
          <w:tcPr>
            <w:gridSpan w:val="4"/>
            <w:shd w:fill="E8EDF5" w:val="clear"/>
            <w:tcMar>
              <w:top w:type="dxa" w:w="70"/>
              <w:left w:type="dxa" w:w="110"/>
              <w:bottom w:type="dxa" w:w="70"/>
              <w:right w:type="dxa" w:w="90"/>
            </w:tcMar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მე-7 დონე — ჯვარედინი</w:t>
            </w:r>
          </w:p>
        </w:tc>
      </w:tr>
      <w:tr>
        <w:tc>
          <w:tcPr>
            <w:tcW w:type="dxa" w:w="32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საგანგებო აღჭურვილობის შემოწმების ჟურნალი</w:t>
            </w:r>
          </w:p>
        </w:tc>
        <w:tc>
          <w:tcPr>
            <w:tcW w:type="dxa" w:w="18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color w:val="0E2647"/>
                <w:sz w:val="12"/>
                <w:szCs w:val="12"/>
              </w:rPr>
              <w:t xml:space="preserve">CC-01</w:t>
            </w:r>
          </w:p>
        </w:tc>
        <w:tc>
          <w:tcPr>
            <w:tcW w:type="dxa" w:w="16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sz w:val="12"/>
                <w:szCs w:val="12"/>
              </w:rPr>
              <w:t xml:space="preserve">მინ. 3 წელი</w:t>
            </w:r>
          </w:p>
        </w:tc>
        <w:tc>
          <w:tcPr>
            <w:tcW w:type="dxa" w:w="23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sz w:val="11"/>
                <w:szCs w:val="11"/>
              </w:rPr>
              <w:t xml:space="preserve">რუტინული განადგურება შენახვის ვადის შემდეგ</w:t>
            </w:r>
          </w:p>
        </w:tc>
      </w:tr>
      <w:tr>
        <w:tc>
          <w:tcPr>
            <w:tcW w:type="dxa" w:w="32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კრიტიკული მომწოდებლის სერტიფიცირების ფაილი</w:t>
            </w:r>
          </w:p>
        </w:tc>
        <w:tc>
          <w:tcPr>
            <w:tcW w:type="dxa" w:w="18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color w:val="0E2647"/>
                <w:sz w:val="12"/>
                <w:szCs w:val="12"/>
              </w:rPr>
              <w:t xml:space="preserve">CC-02</w:t>
            </w:r>
          </w:p>
        </w:tc>
        <w:tc>
          <w:tcPr>
            <w:tcW w:type="dxa" w:w="16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sz w:val="12"/>
                <w:szCs w:val="12"/>
              </w:rPr>
              <w:t xml:space="preserve">ურთიერთობის ხანგრძლივობა + 3 წელი</w:t>
            </w:r>
          </w:p>
        </w:tc>
        <w:tc>
          <w:tcPr>
            <w:tcW w:type="dxa" w:w="23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sz w:val="11"/>
                <w:szCs w:val="11"/>
              </w:rPr>
              <w:t xml:space="preserve">უსაფრთხო არქივირება, შემდეგ განადგურება</w:t>
            </w:r>
          </w:p>
        </w:tc>
      </w:tr>
      <w:tr>
        <w:tc>
          <w:tcPr>
            <w:tcW w:type="dxa" w:w="32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საჩივრის/ოფიციალური პრეტენზიის ფაილი</w:t>
            </w:r>
          </w:p>
        </w:tc>
        <w:tc>
          <w:tcPr>
            <w:tcW w:type="dxa" w:w="18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color w:val="0E2647"/>
                <w:sz w:val="12"/>
                <w:szCs w:val="12"/>
              </w:rPr>
              <w:t xml:space="preserve">CC-03</w:t>
            </w:r>
          </w:p>
        </w:tc>
        <w:tc>
          <w:tcPr>
            <w:tcW w:type="dxa" w:w="16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sz w:val="12"/>
                <w:szCs w:val="12"/>
              </w:rPr>
              <w:t xml:space="preserve">მინ. 3 წელი</w:t>
            </w:r>
          </w:p>
        </w:tc>
        <w:tc>
          <w:tcPr>
            <w:tcW w:type="dxa" w:w="23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sz w:val="11"/>
                <w:szCs w:val="11"/>
              </w:rPr>
              <w:t xml:space="preserve">უსაფრთხო, კონფიდენციალური განადგურება</w:t>
            </w:r>
          </w:p>
        </w:tc>
      </w:tr>
      <w:tr>
        <w:tc>
          <w:tcPr>
            <w:tcW w:type="dxa" w:w="32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სარეზერვო ასლის აღდგენის ტესტის ჩანაწერი</w:t>
            </w:r>
          </w:p>
        </w:tc>
        <w:tc>
          <w:tcPr>
            <w:tcW w:type="dxa" w:w="18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color w:val="0E2647"/>
                <w:sz w:val="12"/>
                <w:szCs w:val="12"/>
              </w:rPr>
              <w:t xml:space="preserve">CC-04</w:t>
            </w:r>
          </w:p>
        </w:tc>
        <w:tc>
          <w:tcPr>
            <w:tcW w:type="dxa" w:w="16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sz w:val="12"/>
                <w:szCs w:val="12"/>
              </w:rPr>
              <w:t xml:space="preserve">მინ. 3 წელი</w:t>
            </w:r>
          </w:p>
        </w:tc>
        <w:tc>
          <w:tcPr>
            <w:tcW w:type="dxa" w:w="2300"/>
            <w:tcMar>
              <w:top w:type="dxa" w:w="80"/>
              <w:left w:type="dxa" w:w="110"/>
              <w:bottom w:type="dxa" w:w="80"/>
              <w:right w:type="dxa" w:w="90"/>
            </w:tcMar>
            <w:vAlign w:val="center"/>
          </w:tcPr>
          <w:p>
            <w:r>
              <w:rPr>
                <w:sz w:val="11"/>
                <w:szCs w:val="11"/>
              </w:rPr>
              <w:t xml:space="preserve">რუტინული განადგურება შენახვის ვადის შემდეგ</w:t>
            </w:r>
          </w:p>
        </w:tc>
      </w:tr>
    </w:tbl>
    <w:p>
      <w:r>
        <w:br w:type="page"/>
      </w:r>
    </w:p>
    <w:p>
      <w:pPr>
        <w:pStyle w:val="Heading1"/>
        <w:spacing w:after="140" w:before="280"/>
      </w:pPr>
      <w:r>
        <w:rPr>
          <w:b/>
          <w:bCs/>
          <w:color w:val="0E2647"/>
          <w:sz w:val="26"/>
          <w:szCs w:val="26"/>
        </w:rPr>
        <w:t xml:space="preserve">7. განკარგვა</w:t>
      </w:r>
    </w:p>
    <w:p>
      <w:pPr>
        <w:spacing w:after="80" w:line="250"/>
        <w:ind w:left="260" w:hanging="180"/>
      </w:pPr>
      <w:r>
        <w:rPr>
          <w:sz w:val="19"/>
          <w:szCs w:val="19"/>
        </w:rPr>
        <w:t xml:space="preserve">•  ხარისხის მენეჯერი ავტორიზებს ნებისმიერი ჩანაწერის განადგურებას მისი შენახვის ვადის დასრულების შემდეგ — განადგურება არასდროს არის ინდივიდუალური თანამშრომლის საკუთარი შეხედულებისამებრ</w:t>
      </w:r>
    </w:p>
    <w:p>
      <w:pPr>
        <w:spacing w:after="80" w:line="250"/>
        <w:ind w:left="260" w:hanging="180"/>
      </w:pPr>
      <w:r>
        <w:rPr>
          <w:sz w:val="19"/>
          <w:szCs w:val="19"/>
        </w:rPr>
        <w:t xml:space="preserve">•  კონფიდენციალური ჩანაწერები (პაციენტის-იდენტიფიცირებადი, პერსონალის, ბასრი საგნებით დაზიანების) განადგურდება უსაფრთხო, კონფიდენციალური მეთოდით — დაქუცმაცება ან ექვივალენტური, არასდროს ზოგადი ნარჩენი</w:t>
      </w:r>
    </w:p>
    <w:p>
      <w:pPr>
        <w:spacing w:after="80" w:line="250"/>
        <w:ind w:left="260" w:hanging="180"/>
      </w:pPr>
      <w:r>
        <w:rPr>
          <w:sz w:val="19"/>
          <w:szCs w:val="19"/>
        </w:rPr>
        <w:t xml:space="preserve">•  განადგურების მტკიცებულება (განკარგვის ჟურნალის ჩანაწერი: რა, როდის, ვისი ავტორიზაციით) თავად ინახება, რეალურ აუდიტის მოლოდინებთან შესაბამისობით</w:t>
      </w:r>
    </w:p>
    <w:p>
      <w:pPr>
        <w:pStyle w:val="Heading1"/>
        <w:spacing w:after="140" w:before="280"/>
      </w:pPr>
      <w:r>
        <w:rPr>
          <w:b/>
          <w:bCs/>
          <w:color w:val="0E2647"/>
          <w:sz w:val="26"/>
          <w:szCs w:val="26"/>
        </w:rPr>
        <w:t xml:space="preserve">8. ამ ინდექსის მართვა</w:t>
      </w:r>
    </w:p>
    <w:p>
      <w:pPr>
        <w:spacing w:after="120" w:line="264"/>
      </w:pPr>
      <w:r>
        <w:rPr>
          <w:sz w:val="20"/>
          <w:szCs w:val="20"/>
        </w:rPr>
        <w:t xml:space="preserve">ეს ინდექსი განახლდება, როცა ახალი SOP შემოაქვს ახალ ჩანაწერის ტიპს, ისე რომ ის დარჩეს სრული, მიმდინარე სია — არა ამ სესიაზე აშენებული დონეების სტატიკური სურათი. შენახვის ვადები გადახედილია მიმდინარე ქართულ სამართლებრივ მოთხოვნებთან შედარებით მინიმუმ ყოველ სამ წელიწადში ერთხელ.</w:t>
      </w:r>
    </w:p>
    <w:p>
      <w:r>
        <w:br w:type="page"/>
      </w:r>
    </w:p>
    <w:p>
      <w:pPr>
        <w:pStyle w:val="Heading1"/>
        <w:spacing w:after="140" w:before="280"/>
      </w:pPr>
      <w:r>
        <w:rPr>
          <w:b/>
          <w:bCs/>
          <w:color w:val="0E2647"/>
          <w:sz w:val="26"/>
          <w:szCs w:val="26"/>
        </w:rPr>
        <w:t xml:space="preserve">წყაროები</w:t>
      </w:r>
    </w:p>
    <w:p>
      <w:pPr>
        <w:spacing w:after="100" w:line="240"/>
        <w:ind w:left="340" w:hanging="340"/>
      </w:pPr>
      <w:r>
        <w:rPr>
          <w:b/>
          <w:bCs/>
          <w:color w:val="0E2647"/>
          <w:sz w:val="16"/>
          <w:szCs w:val="16"/>
        </w:rPr>
        <w:t xml:space="preserve">[1] </w:t>
      </w:r>
      <w:r>
        <w:rPr>
          <w:sz w:val="16"/>
          <w:szCs w:val="16"/>
        </w:rPr>
        <w:t xml:space="preserve">Core Business Solutions. Clause 7.5.3 ISO 9001:2015 Explained — დოკუმენტირებული ინფორმაციის შენარჩუნება.</w:t>
      </w:r>
    </w:p>
    <w:p>
      <w:pPr>
        <w:spacing w:after="100" w:line="240"/>
        <w:ind w:left="340" w:hanging="340"/>
      </w:pPr>
      <w:r>
        <w:rPr>
          <w:b/>
          <w:bCs/>
          <w:color w:val="0E2647"/>
          <w:sz w:val="16"/>
          <w:szCs w:val="16"/>
        </w:rPr>
        <w:t xml:space="preserve">[2] </w:t>
      </w:r>
      <w:r>
        <w:rPr>
          <w:sz w:val="16"/>
          <w:szCs w:val="16"/>
        </w:rPr>
        <w:t xml:space="preserve">Glocert International. ISO 9001 Documented Information: Documents &amp; Records Required.</w:t>
      </w:r>
    </w:p>
    <w:p>
      <w:pPr>
        <w:spacing w:after="100" w:line="240"/>
        <w:ind w:left="340" w:hanging="340"/>
      </w:pPr>
      <w:r>
        <w:rPr>
          <w:b/>
          <w:bCs/>
          <w:color w:val="0E2647"/>
          <w:sz w:val="16"/>
          <w:szCs w:val="16"/>
        </w:rPr>
        <w:t xml:space="preserve">[3] </w:t>
      </w:r>
      <w:r>
        <w:rPr>
          <w:sz w:val="16"/>
          <w:szCs w:val="16"/>
        </w:rPr>
        <w:t xml:space="preserve">QualityWeb360. How to Correctly Implement the ISO 9001 Records Control Procedure — დოკუმენტების vs ჩანაწერების განსხვავება.</w:t>
      </w:r>
    </w:p>
    <w:p>
      <w:pPr>
        <w:spacing w:after="100" w:line="240"/>
        <w:ind w:left="340" w:hanging="340"/>
      </w:pPr>
      <w:r>
        <w:rPr>
          <w:b/>
          <w:bCs/>
          <w:color w:val="0E2647"/>
          <w:sz w:val="16"/>
          <w:szCs w:val="16"/>
        </w:rPr>
        <w:t xml:space="preserve">[4] </w:t>
      </w:r>
      <w:r>
        <w:rPr>
          <w:sz w:val="16"/>
          <w:szCs w:val="16"/>
        </w:rPr>
        <w:t xml:space="preserve">WorkProcedures. ISO 9001 Document Control Procedure: Clause 7.5 Guide — შენახვის გრაფიკის სტრუქტურა, განკარგვა.</w:t>
      </w:r>
    </w:p>
    <w:p>
      <w:pPr>
        <w:spacing w:after="100" w:line="240"/>
        <w:ind w:left="340" w:hanging="340"/>
      </w:pPr>
      <w:r>
        <w:rPr>
          <w:b/>
          <w:bCs/>
          <w:color w:val="0E2647"/>
          <w:sz w:val="16"/>
          <w:szCs w:val="16"/>
        </w:rPr>
        <w:t xml:space="preserve">[5] </w:t>
      </w:r>
      <w:r>
        <w:rPr>
          <w:sz w:val="16"/>
          <w:szCs w:val="16"/>
        </w:rPr>
        <w:t xml:space="preserve">PinnacleQMS. Chapter 6: Retention Schedules — ყველაზე გრძელი გამოსაყენებელი მოთხოვნის პრინციპი. 2026.</w:t>
      </w:r>
    </w:p>
    <w:p>
      <w:pPr>
        <w:spacing w:after="100" w:line="240"/>
        <w:ind w:left="340" w:hanging="340"/>
      </w:pPr>
      <w:r>
        <w:rPr>
          <w:b/>
          <w:bCs/>
          <w:color w:val="0E2647"/>
          <w:sz w:val="16"/>
          <w:szCs w:val="16"/>
        </w:rPr>
        <w:t xml:space="preserve">[6] </w:t>
      </w:r>
      <w:r>
        <w:rPr>
          <w:sz w:val="16"/>
          <w:szCs w:val="16"/>
        </w:rPr>
        <w:t xml:space="preserve">U.S. OSHA. Needlestick Safety and Prevention Act of 2000 — კონფიდენციალური ბასრი საგნებით დაზიანების ჟურნალის მოთხოვნა.</w:t>
      </w:r>
    </w:p>
    <w:p>
      <w:pPr>
        <w:pBdr>
          <w:left w:val="single" w:color="C9A227" w:sz="16" w:space="10"/>
        </w:pBdr>
        <w:shd w:fill="FFF8E7" w:val="clear"/>
        <w:spacing w:after="180" w:before="120"/>
      </w:pPr>
      <w:r>
        <w:rPr>
          <w:i/>
          <w:iCs/>
          <w:color w:val="5C4A0A"/>
          <w:sz w:val="19"/>
          <w:szCs w:val="19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i/>
        <w:iCs/>
        <w:color w:val="6B778C"/>
        <w:sz w:val="14"/>
        <w:szCs w:val="14"/>
      </w:rPr>
      <w:t xml:space="preserve">ASF ISO 9001 Ready · მე-8 დონე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i/>
        <w:iCs/>
        <w:color w:val="6B778C"/>
        <w:sz w:val="14"/>
        <w:szCs w:val="14"/>
      </w:rPr>
      <w:t xml:space="preserve">[ORGANIZATION NAME] · ჩანაწერებისა და ფორმების ინდექსი · TIER8-INDEX-001-KA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2026-09-14T13:30:38.654Z</dcterms:created>
  <dcterms:modified xsi:type="dcterms:W3CDTF">2026-09-14T13:30:38.664Z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