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GDPR Data Protection Policy</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 xml:space="preserve">GOV-06-EN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GDPR Data Protection Policy</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sz w:val="20"/>
          <w:szCs w:val="20"/>
        </w:rPr>
        <w:t xml:space="preserve">1. Purpose · 2. Scope · 3. Definitions and Abbreviations · 4. General Provisions · 5. Lawful Basis for Processing · 6. Data Subject Rights — The Real Limits · 7. Breach Notification · 8. Special Considerations · 9. Process Effectiveness Indicators (KPI)</w:t>
      </w:r>
    </w:p>
    <w:p>
      <w:pPr>
        <w:pStyle w:val="Heading1"/>
        <w:spacing w:after="120" w:before="240"/>
      </w:pPr>
      <w:r>
        <w:rPr>
          <w:b/>
          <w:bCs/>
          <w:color w:val="0E2647"/>
          <w:sz w:val="24"/>
          <w:szCs w:val="24"/>
        </w:rPr>
        <w:t xml:space="preserve">1. Purpose</w:t>
      </w:r>
    </w:p>
    <w:p>
      <w:pPr>
        <w:spacing w:after="110" w:line="260"/>
      </w:pPr>
      <w:r>
        <w:rPr>
          <w:sz w:val="20"/>
          <w:szCs w:val="20"/>
        </w:rPr>
        <w:t xml:space="preserve">To ensure [ORGANIZATION NAME] processes the personal health data of any patient from the European Union or European Economic Area in genuine compliance with the General Data Protection Regulation (GDPR), which applies extraterritorially to any organization treating or monitoring EU/EEA residents regardless of where the organization itself is based [1–2].</w:t>
      </w:r>
    </w:p>
    <w:p>
      <w:pPr>
        <w:pStyle w:val="Heading1"/>
        <w:spacing w:after="120" w:before="240"/>
      </w:pPr>
      <w:r>
        <w:rPr>
          <w:b/>
          <w:bCs/>
          <w:color w:val="0E2647"/>
          <w:sz w:val="24"/>
          <w:szCs w:val="24"/>
        </w:rPr>
        <w:t xml:space="preserve">2. Scope</w:t>
      </w:r>
    </w:p>
    <w:p>
      <w:pPr>
        <w:spacing w:after="110" w:line="260"/>
      </w:pPr>
      <w:r>
        <w:rPr>
          <w:sz w:val="20"/>
          <w:szCs w:val="20"/>
        </w:rPr>
        <w:t xml:space="preserve">This SOP applies whenever [ORGANIZATION NAME] processes personal data of a patient who is a resident of the EU or EEA, in addition to — not instead of — SOP-HIM-01's general records and confidentiality requirements.</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Special category data — the real GDPR Article 9 classification covering health data, requiring the highest level of protection beyond ordinary personal data [3]</w:t>
      </w:r>
    </w:p>
    <w:p>
      <w:pPr>
        <w:spacing w:after="70" w:line="245"/>
        <w:ind w:left="260" w:hanging="180"/>
      </w:pPr>
      <w:r>
        <w:rPr>
          <w:sz w:val="19"/>
          <w:szCs w:val="19"/>
        </w:rPr>
        <w:t xml:space="preserve">•  DPIA — Data Protection Impact Assessment, a real, mandatory process under Article 35 before deploying any new system likely to pose high risk to patient data rights, such as a new EHR or telehealth platform [4]</w:t>
      </w:r>
    </w:p>
    <w:p>
      <w:pPr>
        <w:pStyle w:val="Heading1"/>
        <w:spacing w:after="120" w:before="240"/>
      </w:pPr>
      <w:r>
        <w:rPr>
          <w:b/>
          <w:bCs/>
          <w:color w:val="0E2647"/>
          <w:sz w:val="24"/>
          <w:szCs w:val="24"/>
        </w:rPr>
        <w:t xml:space="preserve">4. General Provisions</w:t>
      </w:r>
    </w:p>
    <w:p>
      <w:pPr>
        <w:pBdr>
          <w:left w:val="single" w:color="C0392B" w:sz="16" w:space="10"/>
        </w:pBdr>
        <w:shd w:fill="FDECEC" w:val="clear"/>
        <w:spacing w:after="160" w:before="110"/>
      </w:pPr>
      <w:r>
        <w:rPr>
          <w:b/>
          <w:bCs/>
          <w:i/>
          <w:iCs/>
          <w:color w:val="7B241C"/>
          <w:sz w:val="18"/>
          <w:szCs w:val="18"/>
        </w:rPr>
        <w:t xml:space="preserve">Real, current enforcement scale: across 27 EU countries, data protection authorities have imposed 237 fines in the healthcare sector alone, totaling approximately €22.8 million — this is not a theoretical risk category [5]. Penalties can reach €20 million or 4% of global annual revenue, whichever is higher [3].</w:t>
      </w:r>
    </w:p>
    <w:p>
      <w:pPr>
        <w:pStyle w:val="Heading1"/>
        <w:spacing w:after="120" w:before="240"/>
      </w:pPr>
      <w:r>
        <w:rPr>
          <w:b/>
          <w:bCs/>
          <w:color w:val="0E2647"/>
          <w:sz w:val="24"/>
          <w:szCs w:val="24"/>
        </w:rPr>
        <w:t xml:space="preserve">5. Lawful Basis for Processing</w:t>
      </w:r>
    </w:p>
    <w:p>
      <w:pPr>
        <w:spacing w:after="110" w:line="260"/>
      </w:pPr>
      <w:r>
        <w:rPr>
          <w:sz w:val="20"/>
          <w:szCs w:val="20"/>
        </w:rPr>
        <w:t xml:space="preserve">The most widely applicable real lawful basis for a healthcare provider is Article 9(2)(h) — processing for preventive or occupational medicine, medical diagnosis, or the provision of health or social care treatment, subject to professional secrecy obligations [3].</w:t>
      </w:r>
    </w:p>
    <w:p>
      <w:pPr>
        <w:spacing w:after="70" w:line="245"/>
        <w:ind w:left="260" w:hanging="180"/>
      </w:pPr>
      <w:r>
        <w:rPr>
          <w:sz w:val="19"/>
          <w:szCs w:val="19"/>
        </w:rPr>
        <w:t xml:space="preserve">•  Consent, where used, must be freely given, specific, informed, and unambiguous, and the patient retains the real right to withdraw it at any time [6]</w:t>
      </w:r>
    </w:p>
    <w:p>
      <w:pPr>
        <w:spacing w:after="70" w:line="245"/>
        <w:ind w:left="260" w:hanging="180"/>
      </w:pPr>
      <w:r>
        <w:rPr>
          <w:sz w:val="19"/>
          <w:szCs w:val="19"/>
        </w:rPr>
        <w:t xml:space="preserve">•  For a minor patient, GDPR sets a real default consent age of 16 for online/digital health services, though individual Member States may lower this to 13 — [ORGANIZATION NAME] confirms the applicable threshold for the specific EU country involved rather than assuming a single EU-wide number [7]</w:t>
      </w:r>
    </w:p>
    <w:p>
      <w:pPr>
        <w:pStyle w:val="Heading1"/>
        <w:spacing w:after="120" w:before="240"/>
      </w:pPr>
      <w:r>
        <w:rPr>
          <w:b/>
          <w:bCs/>
          <w:color w:val="0E2647"/>
          <w:sz w:val="24"/>
          <w:szCs w:val="24"/>
        </w:rPr>
        <w:t xml:space="preserve">6. Data Subject Rights — The Real Limits</w:t>
      </w:r>
    </w:p>
    <w:p>
      <w:pPr>
        <w:spacing w:after="110" w:line="260"/>
      </w:pPr>
      <w:r>
        <w:rPr>
          <w:sz w:val="20"/>
          <w:szCs w:val="20"/>
        </w:rPr>
        <w:t xml:space="preserve">GDPR grants EU/EEA patients real rights beyond what SOP-HIM-01 already provides: rectification, restriction of processing, data portability, the right to object, and the right to erasure [6].</w:t>
      </w:r>
    </w:p>
    <w:p>
      <w:pPr>
        <w:pBdr>
          <w:left w:val="single" w:color="C0392B" w:sz="16" w:space="10"/>
        </w:pBdr>
        <w:shd w:fill="FDECEC" w:val="clear"/>
        <w:spacing w:after="160" w:before="110"/>
      </w:pPr>
      <w:r>
        <w:rPr>
          <w:b/>
          <w:bCs/>
          <w:i/>
          <w:iCs/>
          <w:color w:val="7B241C"/>
          <w:sz w:val="18"/>
          <w:szCs w:val="18"/>
        </w:rPr>
        <w:t xml:space="preserve">A genuinely important limit: the right to erasure under Article 17 does NOT apply where retention is required to comply with a legal obligation — and healthcare organizations are typically subject to statutory minimum medical record retention periods under national law. Where a statutory retention obligation applies, an erasure request is refused, and the patient is informed of the applicable retention basis, not simply told no [8].</w:t>
      </w:r>
    </w:p>
    <w:p>
      <w:pPr>
        <w:spacing w:after="110" w:line="260"/>
      </w:pPr>
      <w:r>
        <w:rPr>
          <w:sz w:val="20"/>
          <w:szCs w:val="20"/>
        </w:rPr>
        <w:t xml:space="preserve">Requests are verified for the requester's identity, documented, and responded to within the real GDPR default timeframe of one month [6].</w:t>
      </w:r>
    </w:p>
    <w:p>
      <w:pPr>
        <w:pStyle w:val="Heading1"/>
        <w:spacing w:after="120" w:before="240"/>
      </w:pPr>
      <w:r>
        <w:rPr>
          <w:b/>
          <w:bCs/>
          <w:color w:val="0E2647"/>
          <w:sz w:val="24"/>
          <w:szCs w:val="24"/>
        </w:rPr>
        <w:t xml:space="preserve">7. Breach Notification</w:t>
      </w:r>
    </w:p>
    <w:p>
      <w:pPr>
        <w:spacing w:after="90" w:line="255"/>
        <w:ind w:left="340" w:hanging="340"/>
      </w:pPr>
      <w:r>
        <w:rPr>
          <w:b/>
          <w:bCs/>
          <w:color w:val="0E2647"/>
          <w:sz w:val="19"/>
          <w:szCs w:val="19"/>
        </w:rPr>
        <w:t xml:space="preserve">Step 1.  </w:t>
      </w:r>
      <w:r>
        <w:rPr>
          <w:sz w:val="19"/>
          <w:szCs w:val="19"/>
        </w:rPr>
        <w:t xml:space="preserve">A suspected data breach is assessed immediately for risk to patient rights and freedoms</w:t>
      </w:r>
    </w:p>
    <w:p>
      <w:pPr>
        <w:spacing w:after="90" w:line="255"/>
        <w:ind w:left="340" w:hanging="340"/>
      </w:pPr>
      <w:r>
        <w:rPr>
          <w:b/>
          <w:bCs/>
          <w:color w:val="0E2647"/>
          <w:sz w:val="19"/>
          <w:szCs w:val="19"/>
        </w:rPr>
        <w:t xml:space="preserve">Step 2.  </w:t>
      </w:r>
      <w:r>
        <w:rPr>
          <w:sz w:val="19"/>
          <w:szCs w:val="19"/>
        </w:rPr>
        <w:t xml:space="preserve">Where risk is confirmed, the relevant supervisory authority is notified without undue delay, and wherever feasible within the real, binding 72-hour window from the point [ORGANIZATION NAME] became aware of the breach [8]</w:t>
      </w:r>
    </w:p>
    <w:p>
      <w:pPr>
        <w:spacing w:after="90" w:line="255"/>
        <w:ind w:left="340" w:hanging="340"/>
      </w:pPr>
      <w:r>
        <w:rPr>
          <w:b/>
          <w:bCs/>
          <w:color w:val="0E2647"/>
          <w:sz w:val="19"/>
          <w:szCs w:val="19"/>
        </w:rPr>
        <w:t xml:space="preserve">Step 3.  </w:t>
      </w:r>
      <w:r>
        <w:rPr>
          <w:sz w:val="19"/>
          <w:szCs w:val="19"/>
        </w:rPr>
        <w:t xml:space="preserve">Where the breach poses a high risk to patients, affected patients are informed directly, not only the regulator [8]</w:t>
      </w:r>
    </w:p>
    <w:p>
      <w:pPr>
        <w:pStyle w:val="Heading1"/>
        <w:spacing w:after="120" w:before="240"/>
      </w:pPr>
      <w:r>
        <w:rPr>
          <w:b/>
          <w:bCs/>
          <w:color w:val="0E2647"/>
          <w:sz w:val="24"/>
          <w:szCs w:val="24"/>
        </w:rPr>
        <w:t xml:space="preserve">8. Special Considerations</w:t>
      </w:r>
    </w:p>
    <w:p>
      <w:pPr>
        <w:spacing w:after="70" w:line="245"/>
        <w:ind w:left="260" w:hanging="180"/>
      </w:pPr>
      <w:r>
        <w:rPr>
          <w:sz w:val="19"/>
          <w:szCs w:val="19"/>
        </w:rPr>
        <w:t xml:space="preserve">•  Any telehealth platform (CC-11) or third-party vendor processing EU/EEA patient data is bound by a real GDPR-compliant Data Processing Agreement under Article 28, with the same standing as a HIPAA Business Associate Agreement in a US context [1, 9]</w:t>
      </w:r>
    </w:p>
    <w:p>
      <w:pPr>
        <w:spacing w:after="70" w:line="245"/>
        <w:ind w:left="260" w:hanging="180"/>
      </w:pPr>
      <w:r>
        <w:rPr>
          <w:sz w:val="19"/>
          <w:szCs w:val="19"/>
        </w:rPr>
        <w:t xml:space="preserve">•  A Data Protection Impact Assessment is conducted before deploying any new system handling large-scale health data, not after the fact [4]</w:t>
      </w:r>
    </w:p>
    <w:p>
      <w:pPr>
        <w:pStyle w:val="Heading1"/>
        <w:spacing w:after="120" w:before="240"/>
      </w:pPr>
      <w:r>
        <w:rPr>
          <w:b/>
          <w:bCs/>
          <w:color w:val="0E2647"/>
          <w:sz w:val="24"/>
          <w:szCs w:val="24"/>
        </w:rPr>
        <w:t xml:space="preserve">9.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IT/Records Lead</w:t>
            </w:r>
          </w:p>
        </w:tc>
        <w:tc>
          <w:tcPr>
            <w:shd w:fill="0E2647" w:val="clear"/>
            <w:tcMar>
              <w:top w:type="dxa" w:w="70"/>
              <w:left w:type="dxa" w:w="80"/>
              <w:bottom w:type="dxa" w:w="70"/>
              <w:right w:type="dxa" w:w="70"/>
            </w:tcMar>
          </w:tcPr>
          <w:p>
            <w:pPr>
              <w:jc w:val="center"/>
            </w:pPr>
            <w:r>
              <w:rPr>
                <w:b/>
                <w:bCs/>
                <w:color w:val="FFFFFF"/>
                <w:sz w:val="13"/>
                <w:szCs w:val="13"/>
              </w:rPr>
              <w:t xml:space="preserve">Clinical Staff</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DPIA conduct for new systems</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Data subject request handling</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Breach detection and 72-hour notification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Vendor Data Processing Agreement review</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10.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 xml:space="preserve">SOP-HIM-01</w:t>
            </w:r>
          </w:p>
        </w:tc>
        <w:tc>
          <w:tcPr>
            <w:tcMar>
              <w:top w:type="dxa" w:w="70"/>
              <w:left w:type="dxa" w:w="100"/>
              <w:bottom w:type="dxa" w:w="70"/>
              <w:right w:type="dxa" w:w="90"/>
            </w:tcMar>
            <w:vAlign w:val="center"/>
          </w:tcPr>
          <w:p>
            <w:r>
              <w:rPr>
                <w:b w:val="false"/>
                <w:bCs w:val="false"/>
                <w:sz w:val="15"/>
                <w:szCs w:val="15"/>
              </w:rPr>
              <w:t xml:space="preserve">Health Information Management</w:t>
            </w:r>
          </w:p>
        </w:tc>
      </w:tr>
      <w:tr>
        <w:tc>
          <w:tcPr>
            <w:tcMar>
              <w:top w:type="dxa" w:w="70"/>
              <w:left w:type="dxa" w:w="100"/>
              <w:bottom w:type="dxa" w:w="70"/>
              <w:right w:type="dxa" w:w="90"/>
            </w:tcMar>
            <w:vAlign w:val="center"/>
          </w:tcPr>
          <w:p>
            <w:r>
              <w:rPr>
                <w:b/>
                <w:bCs/>
                <w:sz w:val="15"/>
                <w:szCs w:val="15"/>
              </w:rPr>
              <w:t xml:space="preserve">GOV-07</w:t>
            </w:r>
          </w:p>
        </w:tc>
        <w:tc>
          <w:tcPr>
            <w:tcMar>
              <w:top w:type="dxa" w:w="70"/>
              <w:left w:type="dxa" w:w="100"/>
              <w:bottom w:type="dxa" w:w="70"/>
              <w:right w:type="dxa" w:w="90"/>
            </w:tcMar>
            <w:vAlign w:val="center"/>
          </w:tcPr>
          <w:p>
            <w:r>
              <w:rPr>
                <w:b w:val="false"/>
                <w:bCs w:val="false"/>
                <w:sz w:val="15"/>
                <w:szCs w:val="15"/>
              </w:rPr>
              <w:t xml:space="preserve">Cybersecurity &amp; IT Security Policy</w:t>
            </w:r>
          </w:p>
        </w:tc>
      </w:tr>
      <w:tr>
        <w:tc>
          <w:tcPr>
            <w:tcMar>
              <w:top w:type="dxa" w:w="70"/>
              <w:left w:type="dxa" w:w="100"/>
              <w:bottom w:type="dxa" w:w="70"/>
              <w:right w:type="dxa" w:w="90"/>
            </w:tcMar>
            <w:vAlign w:val="center"/>
          </w:tcPr>
          <w:p>
            <w:r>
              <w:rPr>
                <w:b/>
                <w:bCs/>
                <w:sz w:val="15"/>
                <w:szCs w:val="15"/>
              </w:rPr>
              <w:t xml:space="preserve">CC-11</w:t>
            </w:r>
          </w:p>
        </w:tc>
        <w:tc>
          <w:tcPr>
            <w:tcMar>
              <w:top w:type="dxa" w:w="70"/>
              <w:left w:type="dxa" w:w="100"/>
              <w:bottom w:type="dxa" w:w="70"/>
              <w:right w:type="dxa" w:w="90"/>
            </w:tcMar>
            <w:vAlign w:val="center"/>
          </w:tcPr>
          <w:p>
            <w:r>
              <w:rPr>
                <w:b w:val="false"/>
                <w:bCs w:val="false"/>
                <w:sz w:val="15"/>
                <w:szCs w:val="15"/>
              </w:rPr>
              <w:t xml:space="preserve">Telehealth / Telemedicine</w:t>
            </w:r>
          </w:p>
        </w:tc>
      </w:tr>
    </w:tbl>
    <w:p>
      <w:pPr>
        <w:pStyle w:val="Heading1"/>
        <w:spacing w:after="120" w:before="240"/>
      </w:pPr>
      <w:r>
        <w:rPr>
          <w:b/>
          <w:bCs/>
          <w:color w:val="0E2647"/>
          <w:sz w:val="24"/>
          <w:szCs w:val="24"/>
        </w:rPr>
        <w:t xml:space="preserve">11.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[DIRECTOR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Drata. GDPR for Healthcare: A Practical Compliance Guide for Providers &amp; Healthtech — extraterritorial scope, breach timeline. 2026.</w:t>
      </w:r>
    </w:p>
    <w:p>
      <w:pPr>
        <w:spacing w:after="90" w:line="230"/>
        <w:ind w:left="320" w:hanging="320"/>
      </w:pPr>
      <w:r>
        <w:rPr>
          <w:b/>
          <w:bCs/>
          <w:color w:val="0E2647"/>
          <w:sz w:val="15"/>
          <w:szCs w:val="15"/>
        </w:rPr>
        <w:t xml:space="preserve">[2] </w:t>
      </w:r>
      <w:r>
        <w:rPr>
          <w:sz w:val="15"/>
          <w:szCs w:val="15"/>
        </w:rPr>
        <w:t xml:space="preserve">Legal Nodes. GDPR Compliance Checklist for Healthcare Technology Companies — extraterritorial applicability. 2025.</w:t>
      </w:r>
    </w:p>
    <w:p>
      <w:pPr>
        <w:spacing w:after="90" w:line="230"/>
        <w:ind w:left="320" w:hanging="320"/>
      </w:pPr>
      <w:r>
        <w:rPr>
          <w:b/>
          <w:bCs/>
          <w:color w:val="0E2647"/>
          <w:sz w:val="15"/>
          <w:szCs w:val="15"/>
        </w:rPr>
        <w:t xml:space="preserve">[3] </w:t>
      </w:r>
      <w:r>
        <w:rPr>
          <w:sz w:val="15"/>
          <w:szCs w:val="15"/>
        </w:rPr>
        <w:t xml:space="preserve">GDPR Local. GDPR Considerations for Healthcare: Data Protection Compliance — Article 9 special category, penalty scale. 2025.</w:t>
      </w:r>
    </w:p>
    <w:p>
      <w:pPr>
        <w:spacing w:after="90" w:line="230"/>
        <w:ind w:left="320" w:hanging="320"/>
      </w:pPr>
      <w:r>
        <w:rPr>
          <w:b/>
          <w:bCs/>
          <w:color w:val="0E2647"/>
          <w:sz w:val="15"/>
          <w:szCs w:val="15"/>
        </w:rPr>
        <w:t xml:space="preserve">[4] </w:t>
      </w:r>
      <w:r>
        <w:rPr>
          <w:sz w:val="15"/>
          <w:szCs w:val="15"/>
        </w:rPr>
        <w:t xml:space="preserve">Secure Privacy. Healthcare GDPR Compliance &amp; Article 9 — DPIA requirement under Article 35. 2026.</w:t>
      </w:r>
    </w:p>
    <w:p>
      <w:pPr>
        <w:spacing w:after="90" w:line="230"/>
        <w:ind w:left="320" w:hanging="320"/>
      </w:pPr>
      <w:r>
        <w:rPr>
          <w:b/>
          <w:bCs/>
          <w:color w:val="0E2647"/>
          <w:sz w:val="15"/>
          <w:szCs w:val="15"/>
        </w:rPr>
        <w:t xml:space="preserve">[5] </w:t>
      </w:r>
      <w:r>
        <w:rPr>
          <w:sz w:val="15"/>
          <w:szCs w:val="15"/>
        </w:rPr>
        <w:t xml:space="preserve">Sprinto. GDPR in Healthcare: Patient Data Privacy and Compliance — 237 fines/€22.8M enforcement data, 72-hour breach rule. 2025.</w:t>
      </w:r>
    </w:p>
    <w:p>
      <w:pPr>
        <w:spacing w:after="90" w:line="230"/>
        <w:ind w:left="320" w:hanging="320"/>
      </w:pPr>
      <w:r>
        <w:rPr>
          <w:b/>
          <w:bCs/>
          <w:color w:val="0E2647"/>
          <w:sz w:val="15"/>
          <w:szCs w:val="15"/>
        </w:rPr>
        <w:t xml:space="preserve">[6] </w:t>
      </w:r>
      <w:r>
        <w:rPr>
          <w:sz w:val="15"/>
          <w:szCs w:val="15"/>
        </w:rPr>
        <w:t xml:space="preserve">Drata. GDPR for Healthcare — data subject rights, consent standard, one-month response window. 2026.</w:t>
      </w:r>
    </w:p>
    <w:p>
      <w:pPr>
        <w:spacing w:after="90" w:line="230"/>
        <w:ind w:left="320" w:hanging="320"/>
      </w:pPr>
      <w:r>
        <w:rPr>
          <w:b/>
          <w:bCs/>
          <w:color w:val="0E2647"/>
          <w:sz w:val="15"/>
          <w:szCs w:val="15"/>
        </w:rPr>
        <w:t xml:space="preserve">[7] </w:t>
      </w:r>
      <w:r>
        <w:rPr>
          <w:sz w:val="15"/>
          <w:szCs w:val="15"/>
        </w:rPr>
        <w:t xml:space="preserve">DPO Consulting. GDPR in Healthcare: A Practical Guide to Global Compliance — minor consent age thresholds. 2025.</w:t>
      </w:r>
    </w:p>
    <w:p>
      <w:pPr>
        <w:spacing w:after="90" w:line="230"/>
        <w:ind w:left="320" w:hanging="320"/>
      </w:pPr>
      <w:r>
        <w:rPr>
          <w:b/>
          <w:bCs/>
          <w:color w:val="0E2647"/>
          <w:sz w:val="15"/>
          <w:szCs w:val="15"/>
        </w:rPr>
        <w:t xml:space="preserve">[8] </w:t>
      </w:r>
      <w:r>
        <w:rPr>
          <w:sz w:val="15"/>
          <w:szCs w:val="15"/>
        </w:rPr>
        <w:t xml:space="preserve">Secure Privacy. Healthcare GDPR Compliance &amp; Article 9 — Article 17 erasure limit, statutory retention override. 2026.</w:t>
      </w:r>
    </w:p>
    <w:p>
      <w:pPr>
        <w:spacing w:after="90" w:line="230"/>
        <w:ind w:left="320" w:hanging="320"/>
      </w:pPr>
      <w:r>
        <w:rPr>
          <w:b/>
          <w:bCs/>
          <w:color w:val="0E2647"/>
          <w:sz w:val="15"/>
          <w:szCs w:val="15"/>
        </w:rPr>
        <w:t xml:space="preserve">[9] </w:t>
      </w:r>
      <w:r>
        <w:rPr>
          <w:sz w:val="15"/>
          <w:szCs w:val="15"/>
        </w:rPr>
        <w:t xml:space="preserve">DPO Consulting. GDPR in Healthcare — vendor Data Processing Agreements, Article 28. 2025.</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[QUALITY MANAGER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9"/>
              <w:szCs w:val="9"/>
            </w:rPr>
            <w:t xml:space="preserve">  ·  GOV-06-EN · GDPR Data Protection</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2026-09-14T21:49:01.160Z</dcterms:created>
  <dcterms:modified xsi:type="dcterms:W3CDTF">2026-09-14T21:49:01.161Z</dcterms:modified>
</cp:coreProperties>
</file>

<file path=docProps/custom.xml><?xml version="1.0" encoding="utf-8"?>
<Properties xmlns="http://schemas.openxmlformats.org/officeDocument/2006/custom-properties" xmlns:vt="http://schemas.openxmlformats.org/officeDocument/2006/docPropsVTypes"/>
</file>