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მონაცემთა დაცვის პოლიტიკა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 xml:space="preserve">GOV-06-KA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GDPR მონაცემთა დაცვის პოლიტიკა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განმარტებები და შემოკლებები · 4. ზოგადი დებულებები · 5. დამუშავების კანონიერი საფუძველი · 6. მონაცემთა სუბიექტის უფლებები — რეალური ზღვრები · 7. დარღვევის შეტყობინება · 8. განსაკუთრებული პირობები · 9. პროცესის ეფექტურობის მაჩვენებლები (KPI)</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NAME]-ის მიერ ევროკავშირის ან ევროპის ეკონომიკური ზონის ნებისმიერი პაციენტის პირადი ჯანმრთელობის მონაცემების ჭეშმარიტი შესაბამისობით დამუშავების უზრუნველყოფა ზოგადი მონაცემთა დაცვის რეგულაციასთან (GDPR), რომელიც ვრცელდება ექსტრატერიტორიულად ნებისმიერ ორგანიზაციაზე, რომელიც მკურნალობს ან აკვირდება ევროკავშირის/EEA რეზიდენტებს, ორგანიზაციის ადგილმდებარეობის მიუხედავად [1–2].</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 xml:space="preserve">წინამდებარე პროცედურა ვრცელდება, როცა [ORGANIZATION NAME] ამუშავებს პაციენტის პირად მონაცემებს, რომელიც არის ევროკავშირის ან EEA რეზიდენტი, დამატებით — არა ნაცვლად — SOP-HIM-01-ის ზოგადი ჩანაწერებისა და კონფიდენციალურობის მოთხოვნებისა.</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სპეციალური კატეგორიის მონაცემები — რეალური GDPR Article 9 კლასიფიკაცია, რომელიც მოიცავს ჯანმრთელობის მონაცემებს, საჭიროებს უმაღლეს დაცვის დონეს ჩვეულებრივ პირად მონაცემებზე მეტს [3]</w:t>
      </w:r>
    </w:p>
    <w:p>
      <w:pPr>
        <w:spacing w:after="70" w:line="245"/>
        <w:ind w:left="260" w:hanging="180"/>
      </w:pPr>
      <w:r>
        <w:rPr>
          <w:sz w:val="19"/>
          <w:szCs w:val="19"/>
        </w:rPr>
        <w:t xml:space="preserve">•  DPIA — მონაცემთა დაცვის ზეგავლენის შეფასება, რეალური, სავალდებულო პროცესი Article 35-ის ქვეშ ნებისმიერი ახალი სისტემის დანერგვამდე, რომელსაც შეუძლია მაღალი რისკი შეუქმნას პაციენტის მონაცემთა უფლებებს, როგორიცაა ახალი EHR ან ტელემედიცინის პლატფორმა [4]</w:t>
      </w:r>
    </w:p>
    <w:p>
      <w:pPr>
        <w:pStyle w:val="Heading1"/>
        <w:spacing w:after="120" w:before="240"/>
      </w:pPr>
      <w:r>
        <w:rPr>
          <w:b/>
          <w:bCs/>
          <w:color w:val="0E2647"/>
          <w:sz w:val="24"/>
          <w:szCs w:val="24"/>
        </w:rPr>
        <w:t xml:space="preserve">4. ზოგადი დებულებები</w:t>
      </w:r>
    </w:p>
    <w:p>
      <w:pPr>
        <w:pBdr>
          <w:left w:val="single" w:color="C0392B" w:sz="16" w:space="10"/>
        </w:pBdr>
        <w:shd w:fill="FDECEC" w:val="clear"/>
        <w:spacing w:after="160" w:before="110"/>
      </w:pPr>
      <w:r>
        <w:rPr>
          <w:b/>
          <w:bCs/>
          <w:i/>
          <w:iCs/>
          <w:color w:val="7B241C"/>
          <w:sz w:val="18"/>
          <w:szCs w:val="18"/>
        </w:rPr>
        <w:t xml:space="preserve">რეალური, მიმდინარე აღსრულების მასშტაბი: 27 ევროკავშირის ქვეყანაში, მონაცემთა დაცვის ორგანოებმა დააკისრეს 237 ჯარიმა მხოლოდ ჯანდაცვის სექტორში, საერთო ჯამში დაახლოებით €22.8 მილიონი — ეს არ არის თეორიული რისკის კატეგორია [5]. ჯარიმებმა შეიძლება მიაღწიოს €20 მილიონს ან გლობალური წლიური შემოსავლის 4%-ს, რომელიც უფრო მაღალია [3].</w:t>
      </w:r>
    </w:p>
    <w:p>
      <w:pPr>
        <w:pStyle w:val="Heading1"/>
        <w:spacing w:after="120" w:before="240"/>
      </w:pPr>
      <w:r>
        <w:rPr>
          <w:b/>
          <w:bCs/>
          <w:color w:val="0E2647"/>
          <w:sz w:val="24"/>
          <w:szCs w:val="24"/>
        </w:rPr>
        <w:t xml:space="preserve">5. დამუშავების კანონიერი საფუძველი</w:t>
      </w:r>
    </w:p>
    <w:p>
      <w:pPr>
        <w:spacing w:after="110" w:line="260"/>
      </w:pPr>
      <w:r>
        <w:rPr>
          <w:sz w:val="20"/>
          <w:szCs w:val="20"/>
        </w:rPr>
        <w:t xml:space="preserve">ყველაზე ფართოდ გამოსაყენებელი რეალური კანონიერი საფუძველი ჯანდაცვის მომწოდებლისთვის არის Article 9(2)(h) — დამუშავება პრევენციული ან პროფესიული მედიცინისთვის, სამედიცინო დიაგნოზისთვის, ან ჯანდაცვის ან სოციალური მოვლის უზრუნველყოფისთვის, პროფესიული საიდუმლოების ვალდებულებების ფარგლებში [3].</w:t>
      </w:r>
    </w:p>
    <w:p>
      <w:pPr>
        <w:spacing w:after="70" w:line="245"/>
        <w:ind w:left="260" w:hanging="180"/>
      </w:pPr>
      <w:r>
        <w:rPr>
          <w:sz w:val="19"/>
          <w:szCs w:val="19"/>
        </w:rPr>
        <w:t xml:space="preserve">•  თანხმობა, სადაც გამოიყენება, უნდა იყოს თავისუფლად მიცემული, კონკრეტული, ინფორმირებული და ცალსახა, და პაციენტს რჩება რეალური უფლება მისი ნებისმიერ დროს გაუქმებისა [6]</w:t>
      </w:r>
    </w:p>
    <w:p>
      <w:pPr>
        <w:spacing w:after="70" w:line="245"/>
        <w:ind w:left="260" w:hanging="180"/>
      </w:pPr>
      <w:r>
        <w:rPr>
          <w:sz w:val="19"/>
          <w:szCs w:val="19"/>
        </w:rPr>
        <w:t xml:space="preserve">•  არასრულწლოვანი პაციენტისთვის, GDPR ადგენს რეალურ ნაგულისხმევ თანხმობის ასაკს 16 წელს ონლაინ/ციფრული ჯანდაცვის სერვისებისთვის, თუმცა ცალკეულ წევრ სახელმწიფოებს შეუძლიათ ეს დაბლა დასწიონ 13-მდე — [ORGANIZATION NAME] ადასტურებს გამოსაყენებელ ზღვარს კონკრეტული ევროკავშირის ქვეყნისთვის, არ ვარაუდობს ერთიან ევროკავშირის-მასშტაბის რიცხვს [7]</w:t>
      </w:r>
    </w:p>
    <w:p>
      <w:pPr>
        <w:pStyle w:val="Heading1"/>
        <w:spacing w:after="120" w:before="240"/>
      </w:pPr>
      <w:r>
        <w:rPr>
          <w:b/>
          <w:bCs/>
          <w:color w:val="0E2647"/>
          <w:sz w:val="24"/>
          <w:szCs w:val="24"/>
        </w:rPr>
        <w:t xml:space="preserve">6. მონაცემთა სუბიექტის უფლებები — რეალური ზღვრები</w:t>
      </w:r>
    </w:p>
    <w:p>
      <w:pPr>
        <w:spacing w:after="110" w:line="260"/>
      </w:pPr>
      <w:r>
        <w:rPr>
          <w:sz w:val="20"/>
          <w:szCs w:val="20"/>
        </w:rPr>
        <w:t xml:space="preserve">GDPR ანიჭებს ევროკავშირის/EEA პაციენტებს რეალურ უფლებებს, სცილდება SOP-HIM-01-ის უკვე მოწოდებულს: გასწორება, დამუშავების შეზღუდვა, მონაცემთა პორტაბელურობა, წინააღმდეგობის უფლება და გაუქმების უფლება [6].</w:t>
      </w:r>
    </w:p>
    <w:p>
      <w:pPr>
        <w:pBdr>
          <w:left w:val="single" w:color="C0392B" w:sz="16" w:space="10"/>
        </w:pBdr>
        <w:shd w:fill="FDECEC" w:val="clear"/>
        <w:spacing w:after="160" w:before="110"/>
      </w:pPr>
      <w:r>
        <w:rPr>
          <w:b/>
          <w:bCs/>
          <w:i/>
          <w:iCs/>
          <w:color w:val="7B241C"/>
          <w:sz w:val="18"/>
          <w:szCs w:val="18"/>
        </w:rPr>
        <w:t xml:space="preserve">ჭეშმარიტად მნიშვნელოვანი ზღვარი: Article 17-ის ქვეშ გაუქმების უფლება არ ვრცელდება, სადაც შენახვა საჭიროა სამართლებრივი ვალდებულების დასაკმაყოფილებლად — და ჯანდაცვის ორგანიზაციები ჩვეულებრივ ექვემდებარებიან სამედიცინო ჩანაწერის სტატუტორულ მინიმალურ შენახვის პერიოდებს ეროვნული კანონმდებლობის ქვეშ. სადაც სტატუტორული შენახვის ვალდებულება ვრცელდება, გაუქმების მოთხოვნა უარყოფილია, და პაციენტი ინფორმირებულია გამოსაყენებელი შენახვის საფუძველზე, არა უბრალოდ ეუბნებიან უარს [8].</w:t>
      </w:r>
    </w:p>
    <w:p>
      <w:pPr>
        <w:spacing w:after="110" w:line="260"/>
      </w:pPr>
      <w:r>
        <w:rPr>
          <w:sz w:val="20"/>
          <w:szCs w:val="20"/>
        </w:rPr>
        <w:t xml:space="preserve">მოთხოვნები ვერიფიცირდება მომთხოვნის ვინაობაზე, დოკუმენტირდება და პასუხი ეცემა რეალურ GDPR ნაგულისხმევ ერთი თვის ვადაში [6].</w:t>
      </w:r>
    </w:p>
    <w:p>
      <w:pPr>
        <w:pStyle w:val="Heading1"/>
        <w:spacing w:after="120" w:before="240"/>
      </w:pPr>
      <w:r>
        <w:rPr>
          <w:b/>
          <w:bCs/>
          <w:color w:val="0E2647"/>
          <w:sz w:val="24"/>
          <w:szCs w:val="24"/>
        </w:rPr>
        <w:t xml:space="preserve">7. დარღვევის შეტყობინება</w:t>
      </w:r>
    </w:p>
    <w:p>
      <w:pPr>
        <w:spacing w:after="90" w:line="255"/>
        <w:ind w:left="340" w:hanging="340"/>
      </w:pPr>
      <w:r>
        <w:rPr>
          <w:b/>
          <w:bCs/>
          <w:color w:val="0E2647"/>
          <w:sz w:val="19"/>
          <w:szCs w:val="19"/>
        </w:rPr>
        <w:t xml:space="preserve">ნაბიჯი 1.  </w:t>
      </w:r>
      <w:r>
        <w:rPr>
          <w:sz w:val="19"/>
          <w:szCs w:val="19"/>
        </w:rPr>
        <w:t xml:space="preserve">საეჭვო მონაცემთა დარღვევა დაუყოვნებლივ ფასდება პაციენტის უფლებებსა და თავისუფლებებზე რისკზე</w:t>
      </w:r>
    </w:p>
    <w:p>
      <w:pPr>
        <w:spacing w:after="90" w:line="255"/>
        <w:ind w:left="340" w:hanging="340"/>
      </w:pPr>
      <w:r>
        <w:rPr>
          <w:b/>
          <w:bCs/>
          <w:color w:val="0E2647"/>
          <w:sz w:val="19"/>
          <w:szCs w:val="19"/>
        </w:rPr>
        <w:t xml:space="preserve">ნაბიჯი 2.  </w:t>
      </w:r>
      <w:r>
        <w:rPr>
          <w:sz w:val="19"/>
          <w:szCs w:val="19"/>
        </w:rPr>
        <w:t xml:space="preserve">სადაც რისკი დადასტურებულია, შესაბამის ზედამხედველობის ორგანოს ეცნობება შეფერხების გარეშე, და სადაც შესაძლებელია, რეალურ, სავალდებულო 72-საათიან ფანჯარაში იმ მომენტიდან, როცა [ORGANIZATION NAME]-მა შეიტყო დარღვევის შესახებ [8]</w:t>
      </w:r>
    </w:p>
    <w:p>
      <w:pPr>
        <w:spacing w:after="90" w:line="255"/>
        <w:ind w:left="340" w:hanging="340"/>
      </w:pPr>
      <w:r>
        <w:rPr>
          <w:b/>
          <w:bCs/>
          <w:color w:val="0E2647"/>
          <w:sz w:val="19"/>
          <w:szCs w:val="19"/>
        </w:rPr>
        <w:t xml:space="preserve">ნაბიჯი 3.  </w:t>
      </w:r>
      <w:r>
        <w:rPr>
          <w:sz w:val="19"/>
          <w:szCs w:val="19"/>
        </w:rPr>
        <w:t xml:space="preserve">სადაც დარღვევა წარმოადგენს მაღალ რისკს პაციენტებისთვის, დაზარალებულ პაციენტებს ეცნობებათ პირდაპირ, არა მხოლოდ მარეგულირებელს [8]</w:t>
      </w:r>
    </w:p>
    <w:p>
      <w:pPr>
        <w:pStyle w:val="Heading1"/>
        <w:spacing w:after="120" w:before="240"/>
      </w:pPr>
      <w:r>
        <w:rPr>
          <w:b/>
          <w:bCs/>
          <w:color w:val="0E2647"/>
          <w:sz w:val="24"/>
          <w:szCs w:val="24"/>
        </w:rPr>
        <w:t xml:space="preserve">8. განსაკუთრებული პირობები</w:t>
      </w:r>
    </w:p>
    <w:p>
      <w:pPr>
        <w:spacing w:after="70" w:line="245"/>
        <w:ind w:left="260" w:hanging="180"/>
      </w:pPr>
      <w:r>
        <w:rPr>
          <w:sz w:val="19"/>
          <w:szCs w:val="19"/>
        </w:rPr>
        <w:t xml:space="preserve">•  ნებისმიერი ტელემედიცინის პლატფორმა (CC-11) ან მესამე მხარის მომწოდებელი, რომელიც ამუშავებს ევროკავშირის/EEA პაციენტის მონაცემებს, შებოჭილია რეალური GDPR-შესაბამისი მონაცემთა დამუშავების შეთანხმებით Article 28-ის ქვეშ, იმავე მდგომარეობით, როგორც HIPAA Business Associate Agreement აშშ-ის კონტექსტში [1, 9]</w:t>
      </w:r>
    </w:p>
    <w:p>
      <w:pPr>
        <w:spacing w:after="70" w:line="245"/>
        <w:ind w:left="260" w:hanging="180"/>
      </w:pPr>
      <w:r>
        <w:rPr>
          <w:sz w:val="19"/>
          <w:szCs w:val="19"/>
        </w:rPr>
        <w:t xml:space="preserve">•  მონაცემთა დაცვის ზეგავლენის შეფასება ტარდება ნებისმიერი ახალი, ფართომასშტაბიანი ჯანმრთელობის მონაცემების დამმუშავებელი სისტემის დანერგვამდე, არა ფაქტის შემდეგ [4]</w:t>
      </w:r>
    </w:p>
    <w:p>
      <w:pPr>
        <w:pStyle w:val="Heading1"/>
        <w:spacing w:after="120" w:before="240"/>
      </w:pPr>
      <w:r>
        <w:rPr>
          <w:b/>
          <w:bCs/>
          <w:color w:val="0E2647"/>
          <w:sz w:val="24"/>
          <w:szCs w:val="24"/>
        </w:rPr>
        <w:t xml:space="preserve">9.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IT/ჩანაწერების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ჩატარება ახალი სისტემებისთვის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მონაცემთა სუბიექტის მოთხოვნის დამუშავება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დარღვევის აღმოჩენა და 72-საათიანი შეტყობინება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მომწოდებლის მონაცემთა დამუშავების შეთანხმების მიმოხილვა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 xml:space="preserve">SOP-HIM-01</w:t>
            </w:r>
          </w:p>
        </w:tc>
        <w:tc>
          <w:tcPr>
            <w:tcMar>
              <w:top w:type="dxa" w:w="70"/>
              <w:left w:type="dxa" w:w="100"/>
              <w:bottom w:type="dxa" w:w="70"/>
              <w:right w:type="dxa" w:w="90"/>
            </w:tcMar>
            <w:vAlign w:val="center"/>
          </w:tcPr>
          <w:p>
            <w:r>
              <w:rPr>
                <w:b w:val="false"/>
                <w:bCs w:val="false"/>
                <w:sz w:val="15"/>
                <w:szCs w:val="15"/>
              </w:rPr>
              <w:t xml:space="preserve">ჯანმრთელობის ინფორმაციის მართვა</w:t>
            </w:r>
          </w:p>
        </w:tc>
      </w:tr>
      <w:tr>
        <w:tc>
          <w:tcPr>
            <w:tcMar>
              <w:top w:type="dxa" w:w="70"/>
              <w:left w:type="dxa" w:w="100"/>
              <w:bottom w:type="dxa" w:w="70"/>
              <w:right w:type="dxa" w:w="90"/>
            </w:tcMar>
            <w:vAlign w:val="center"/>
          </w:tcPr>
          <w:p>
            <w:r>
              <w:rPr>
                <w:b/>
                <w:bCs/>
                <w:sz w:val="15"/>
                <w:szCs w:val="15"/>
              </w:rPr>
              <w:t xml:space="preserve">GOV-07</w:t>
            </w:r>
          </w:p>
        </w:tc>
        <w:tc>
          <w:tcPr>
            <w:tcMar>
              <w:top w:type="dxa" w:w="70"/>
              <w:left w:type="dxa" w:w="100"/>
              <w:bottom w:type="dxa" w:w="70"/>
              <w:right w:type="dxa" w:w="90"/>
            </w:tcMar>
            <w:vAlign w:val="center"/>
          </w:tcPr>
          <w:p>
            <w:r>
              <w:rPr>
                <w:b w:val="false"/>
                <w:bCs w:val="false"/>
                <w:sz w:val="15"/>
                <w:szCs w:val="15"/>
              </w:rPr>
              <w:t xml:space="preserve">კიბერუსაფრთხოება და IT უსაფრთხოების პოლიტიკა</w:t>
            </w:r>
          </w:p>
        </w:tc>
      </w:tr>
      <w:tr>
        <w:tc>
          <w:tcPr>
            <w:tcMar>
              <w:top w:type="dxa" w:w="70"/>
              <w:left w:type="dxa" w:w="100"/>
              <w:bottom w:type="dxa" w:w="70"/>
              <w:right w:type="dxa" w:w="90"/>
            </w:tcMar>
            <w:vAlign w:val="center"/>
          </w:tcPr>
          <w:p>
            <w:r>
              <w:rPr>
                <w:b/>
                <w:bCs/>
                <w:sz w:val="15"/>
                <w:szCs w:val="15"/>
              </w:rPr>
              <w:t xml:space="preserve">CC-11</w:t>
            </w:r>
          </w:p>
        </w:tc>
        <w:tc>
          <w:tcPr>
            <w:tcMar>
              <w:top w:type="dxa" w:w="70"/>
              <w:left w:type="dxa" w:w="100"/>
              <w:bottom w:type="dxa" w:w="70"/>
              <w:right w:type="dxa" w:w="90"/>
            </w:tcMar>
            <w:vAlign w:val="center"/>
          </w:tcPr>
          <w:p>
            <w:r>
              <w:rPr>
                <w:b w:val="false"/>
                <w:bCs w:val="false"/>
                <w:sz w:val="15"/>
                <w:szCs w:val="15"/>
              </w:rPr>
              <w:t xml:space="preserve">ტელემედიცინა</w:t>
            </w:r>
          </w:p>
        </w:tc>
      </w:tr>
    </w:tbl>
    <w:p>
      <w:pPr>
        <w:pStyle w:val="Heading1"/>
        <w:spacing w:after="120" w:before="240"/>
      </w:pPr>
      <w:r>
        <w:rPr>
          <w:b/>
          <w:bCs/>
          <w:color w:val="0E2647"/>
          <w:sz w:val="24"/>
          <w:szCs w:val="24"/>
        </w:rPr>
        <w:t xml:space="preserve">11.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ექსტრატერიტორიული სფერო, დარღვევის ვადა.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ექსტრატერიტორიული გამოყენება.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სპეციალური კატეგორია, ჯარიმის მასშტაბი.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მოთხოვნა Article 35-ის ქვეშ. 2026.</w:t>
      </w:r>
    </w:p>
    <w:p>
      <w:pPr>
        <w:spacing w:after="90" w:line="230"/>
        <w:ind w:left="320" w:hanging="320"/>
      </w:pPr>
      <w:r>
        <w:rPr>
          <w:b/>
          <w:bCs/>
          <w:color w:val="0E2647"/>
          <w:sz w:val="15"/>
          <w:szCs w:val="15"/>
        </w:rPr>
        <w:t xml:space="preserve">[5] </w:t>
      </w:r>
      <w:r>
        <w:rPr>
          <w:sz w:val="15"/>
          <w:szCs w:val="15"/>
        </w:rPr>
        <w:t xml:space="preserve">Sprinto. GDPR in Healthcare: Patient Data Privacy and Compliance — 237 ჯარიმა/€22.8მლნ აღსრულების მონაცემები, 72-საათიანი დარღვევის წესი. 2025.</w:t>
      </w:r>
    </w:p>
    <w:p>
      <w:pPr>
        <w:spacing w:after="90" w:line="230"/>
        <w:ind w:left="320" w:hanging="320"/>
      </w:pPr>
      <w:r>
        <w:rPr>
          <w:b/>
          <w:bCs/>
          <w:color w:val="0E2647"/>
          <w:sz w:val="15"/>
          <w:szCs w:val="15"/>
        </w:rPr>
        <w:t xml:space="preserve">[6] </w:t>
      </w:r>
      <w:r>
        <w:rPr>
          <w:sz w:val="15"/>
          <w:szCs w:val="15"/>
        </w:rPr>
        <w:t xml:space="preserve">Drata. GDPR for Healthcare — მონაცემთა სუბიექტის უფლებები, თანხმობის სტანდარტი, ერთი თვის პასუხის ვადა.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არასრულწლოვნის თანხმობის ასაკის ზღვრები.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გაუქმების ზღვარი, სტატუტორული შენახვის უპირატესობა. 2026.</w:t>
      </w:r>
    </w:p>
    <w:p>
      <w:pPr>
        <w:spacing w:after="90" w:line="230"/>
        <w:ind w:left="320" w:hanging="320"/>
      </w:pPr>
      <w:r>
        <w:rPr>
          <w:b/>
          <w:bCs/>
          <w:color w:val="0E2647"/>
          <w:sz w:val="15"/>
          <w:szCs w:val="15"/>
        </w:rPr>
        <w:t xml:space="preserve">[9] </w:t>
      </w:r>
      <w:r>
        <w:rPr>
          <w:sz w:val="15"/>
          <w:szCs w:val="15"/>
        </w:rPr>
        <w:t xml:space="preserve">DPO Consulting. GDPR in Healthcare — მომწოდებლის მონაცემთა დამუშავების შეთანხმებები, Article 28. 2025.</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[DIRECTOR NAME]</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GOV-06-KA · GDPR მონაცემთა დაცვა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2026-09-14T21:49:01.324Z</dcterms:created>
  <dcterms:modified xsi:type="dcterms:W3CDTF">2026-09-14T21:49:01.324Z</dcterms:modified>
</cp:coreProperties>
</file>

<file path=docProps/custom.xml><?xml version="1.0" encoding="utf-8"?>
<Properties xmlns="http://schemas.openxmlformats.org/officeDocument/2006/custom-properties" xmlns:vt="http://schemas.openxmlformats.org/officeDocument/2006/docPropsVTypes"/>
</file>