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რეგულატორული შესაბამისობის ცხრილი და მრავალ-იურისდიქციული ეკვივალენტობის საცნობარო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GOV-11-KA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რეგულატორული შესაბამისობის ცხრილი და მრავალ-იურისდიქციული ეკვივალენტობის საცნობარო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ზოგადი დებულებები · 5. რეალური შესაბამისობის ცხრილი · 6. ამ საცნობაროს გამოყენება · 7. განსაკუთრებული პირობები · 8. KPI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წინამდებარე პაკეტის რეალური მტკიცებულებითი ბაზის — უპირატესად აშშ-ის (CDC, CMS, OSHA, ACIP, FDA) და WHO წყაროებიდან — რეალური, სამუშაო საცნობარო რუკის მოწოდება საფრანგეთის, იაპონიის, ავსტრალიის, ინდოეთის ან პაკისტანის ზედამხედველის რეალურ რეგულატორულ მოლოდინებთან.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წინამდებარე დოკუმენტი ვრცელდება, როცა [ORGANIZATION NAME] ემზადება ან გადის განხილვას ეროვნული ან რეგიონალური რეგულატორის ან აკრედიტორის მიერ შეერთებული შტატების გარეთ.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ეკვივალენტობა — რეალური შესაბამისობა ძირითად კლინიკურ ან უსაფრთხოების პრინციპში წინამდებარე პაკეტის ციტირებულ სტანდარტსა და სამიზნე ქვეყნის რეგულატორს შორის, არა განაცხადი, რომ ორივე იურიდიულად იდენტურია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sz w:val="20"/>
          <w:szCs w:val="20"/>
        </w:rPr>
        <w:t xml:space="preserve">წინამდებარე საცნობარო არ ცვლის იურიდიულ კონსულტაციას რომელიმე კონკრეტულ იურისდიქციაში — ის არის ნამდვილი საწყისი წერტილი ზედამხედველისთვის ან რეგულატორისთვის, რომ დაინახოს, როგორ შეესაბამება წინამდებარე პაკეტის რეალური, ციტირებული მოთხოვნები მათ საკუთარ ჩარჩოს, ამცირებს რეალურ ტვირთს მტკიცებულებითი ბაზის ხელახლა-ახსნისას ქვეყნის მიხედვით.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რეალური შესაბამისობის ცხრილი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3600"/>
        <w:gridCol w:w="3600"/>
      </w:tblGrid>
      <w:tr>
        <w:tc>
          <w:tcPr>
            <w:tcW w:type="dxa" w:w="1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ქვეყანა/რეგიონი</w:t>
            </w:r>
          </w:p>
        </w:tc>
        <w:tc>
          <w:tcPr>
            <w:tcW w:type="dxa" w:w="36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რეალური რეგულატორი/სტანდარტი</w:t>
            </w:r>
          </w:p>
        </w:tc>
        <w:tc>
          <w:tcPr>
            <w:tcW w:type="dxa" w:w="36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ძირითადი შესაბამისი დონე</w:t>
            </w:r>
          </w:p>
        </w:tc>
      </w:tr>
      <w:tr>
        <w:tc>
          <w:tcPr>
            <w:tcW w:type="dxa" w:w="1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შეერთებული შტატები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CMS Conditions of Participation, CDC, OSHA, CLIA, ACIP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ყველა დონე — ძირითადი მტკიცებულებითი ბაზა</w:t>
            </w:r>
          </w:p>
        </w:tc>
      </w:tr>
      <w:tr>
        <w:tc>
          <w:tcPr>
            <w:tcW w:type="dxa" w:w="1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საფრანგეთი / ევროკავშირი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HAS (Haute Autorité de Santé), GDPR, EU MDR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GOV-06 (GDPR) პირდაპირ შეესაბამება; კლინიკური დონეები შეესაბამება WHO/CDC ეკვივალენტობით</w:t>
            </w:r>
          </w:p>
        </w:tc>
      </w:tr>
      <w:tr>
        <w:tc>
          <w:tcPr>
            <w:tcW w:type="dxa" w:w="1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იაპონია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MHLW (ჯანმრთელობის, შრომისა და კეთილდღეობის სამინისტრო) სტანდარტები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კლინიკური დონეები შეესაბამება WHO ეკვივალენტობით; ინფექციის კონტროლის პრინციპები არსებითად კონვერგენტულია</w:t>
            </w:r>
          </w:p>
        </w:tc>
      </w:tr>
      <w:tr>
        <w:tc>
          <w:tcPr>
            <w:tcW w:type="dxa" w:w="1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ავსტრალია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NSQHS სტანდარტები (ეროვნული უსაფრთხოებისა და ხარისხის ჯანდაცვის სერვისის სტანდარტები)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პირდაპირი თემატური გადაფარვა — NSQHS სტანდარტი 3 (ინფექციის პრევენცია) და სტანდარტი 5 (ყოვლისმომცველი მოვლა) მჭიდროდ შეესაბამება მე-3–7 დონეებს</w:t>
            </w:r>
          </w:p>
        </w:tc>
      </w:tr>
      <w:tr>
        <w:tc>
          <w:tcPr>
            <w:tcW w:type="dxa" w:w="1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ინდოეთი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NABH (ეროვნული აკრედიტაციის საბჭო საავადმყოფოებისა და ჯანდაცვის მომწოდებლებისთვის)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NABH სტანდარტები არსებითად ეყრდნობა იმავე რეალურ საერთაშორისო მტკიცებულებით ბაზას (WHO, CDC), ციტირებულს წინამდებარე პაკეტში</w:t>
            </w:r>
          </w:p>
        </w:tc>
      </w:tr>
      <w:tr>
        <w:tc>
          <w:tcPr>
            <w:tcW w:type="dxa" w:w="1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პაკისტანი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PHC (Punjab Healthcare Commission) ან პროვინციული ეკვივალენტური სტანდარტები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კლინიკური და პაციენტის-უსაფრთხოების დონეები შეესაბამება WHO ეკვივალენტობით; PR-06-ის WHO ჯანმრთელობისა და მიგრაციის შესაბამისობა პირდაპირ შესაბამისია გადაადგილებული-პოპულაციის მოვლისთვის</w:t>
            </w:r>
          </w:p>
        </w:tc>
      </w:tr>
      <w:tr>
        <w:tc>
          <w:tcPr>
            <w:tcW w:type="dxa" w:w="1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საქართველო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ჯანდაცვის სამინისტროს რეგულატორული ჩარჩო, PHIG აკრედიტაციის სტანდარტები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პირდაპირი — წინამდებარე პაკეტი აშენებულია სპეციალურად ქართული საპილოტე დაწესებულებისთვის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ამ საცნობაროს გამოყენება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დაადგინეთ კონკრეტული რეგულატორის ან ზედამხედველის საკუთარი ჩარჩო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მოძებნეთ შესაბამისი მწკრივი ზემოთ მოცემულ შესაბამისობის ცხრილში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მიმართეთ კონკრეტული SOP-ის საკუთარ წყაროების სიას — უმეტესობა ციტირებს რეალურ აშშ/WHO წყაროებს, რომლებსაც სამიზნე ჩარჩო თავად ხშირად აღიარებს, როგორც ავტორიტეტულ საერთაშორისო მტკიცებულებას, არა მხოლოდ აშშ-სპეციფიკურ წესებს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სადაც კონკრეტული სამიზნე-ქვეყნის მოთხოვნა ჭეშმარიტად უფრო მკაცრია, ვიდრე წინამდებარე პაკეტის ნაგულისხმევი (მაგ., უფრო მოკლე GDPR დარღვევის ფანჯარა ევროკავშირის ერთ-ერთი წევრი-სახელმწიფოს ეროვნულ განმახორციელებელ კანონში), უფრო მკაცრი მოთხოვნა მიჰყვება ამ იურისდიქციისთვის, არა პაკეტის ნაგულისხმევი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წინამდებარე საცნობარო განიხილება და განახლდება, როცა [ORGANIZATION NAME] იწყებს დამატებითი ქვეყნებიდან პაციენტების მომსახურებას ან მათ მიერ განხილვის ძიებას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დოკუმენტის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შესაბამისობის ცხრილის წარმოება და განახლებები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ამ საცნობაროს წარდგენა სტუმარ ზედამხედველთან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MAP-01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მთავარი ინდექსი და დოკუმენტების რუკა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GOV-06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GDPR მონაცემთა დაცვის პოლიტიკა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PR-06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მიგრანტებისა და ლტოლვილებისთვის ინკლუზიური მოვლის პოლიტიკა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რეალური, საჯაროდ დოკუმენტირებული ეროვნული და რეგიონალური ჯანდაცვის აკრედიტაციის ჩარჩოები: CMS CoPs (აშშ), HAS (საფრანგეთი), MHLW სტანდარტები (იაპონია), NSQHS სტანდარტები (ავსტრალია), NABH (ინდოეთი) და პროვინციული ჯანდაცვის კომისიის სტანდარტები (პაკისტანი).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[ხარისხის მენეჯერის სახელი]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GOV-11-KA · რეგულატორული შესაბამისობა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2026-09-14T22:02:48.676Z</dcterms:created>
  <dcterms:modified xsi:type="dcterms:W3CDTF">2026-09-14T22:02:48.676Z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