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Oncology-Specific Informed Consent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ONC-03-EN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Oncology-Specific Informed Consent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 — applicable only if on-site chemotherapy is confirmed (see SOP-PR-01, Section 10)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ONC-03-KA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Relationship to General Informed Consent · 5. General Provisions · 6.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7. What Must Be Disclosed · 8. Pre-Treatment Assessment (Every Encounter)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9. Re-Consent Triggers · 10.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11. Process Effectiveness Indicators (KPI) · 12.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13.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patient receiving chemotherapy at [ORGANIZATION NAME] gives genuinely informed consent specific to the real risks, uncertainties, and alternatives of antineoplastic therapy, consistent with the ASCO consent doctrine and the 2024 ASCO/ONS Antineoplastic Therapy Administration Safety Standards [1–3].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only where [ORGANIZATION NAME] administers chemotherapy on-site. It governs standard clinical care consent, not research or clinical trial consent, which is regulated separately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Material risk — a risk serious or likely enough that a reasonable patient would want to know it before deciding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Regimen — the specific combination, sequence, and schedule of antineoplastic agents prescribed, as distinct from any single drug within it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Relationship to General Informed Consent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This SOP adds oncology-specific requirements on top of SOP-PR-01 (General Informed Consent) — it does not replace the five-element standard (disclosure, capacity, understanding, voluntariness, authorization) already established there. Applicability of this entire document depends on the open Tier 5 scope question already flagged in ONC-01: whether chemotherapy is administered on-site.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The more serious or likely a risk or side effect, the more material it becomes to the patient's decision, and the more clearly it must be disclosed — this is not satisfied by handing over a drug package insert and calling it disclosure [1–2]. Where a proposed regimen is innovative, unproven, or outside standard practice, this is itself a material fact requiring disclosure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Oncologist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Consent conversation and disclosure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Pre-treatment assessment, every encounter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Weight/height two-person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Consent documentation audit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What Must Be Disclosed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specific regimen's real risks and side effects, at the level of materiality — not a generic “chemotherapy has side effects” statement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Reasonable alternatives, including palliative care where clinically appropriate — a patient has the right to make a meaningful, personal choice, not only a choice between treatment options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Genuine medical uncertainty, stated honestly rather than implied to be more certain than it is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If the regimen is innovative, unproven, or outside standard practice, this fact itself, disclosed clearly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Pre-Treatment Assessment (Every Encounter)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Consistent with the 2024 ASCO/ONS Safety Standards, the following six elements are assessed and documented at every treatment encounter, not only at the first [3]: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6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Assessment Element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Required at Each Treatment Encounter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Functional/performance status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Assessed and documented before proceeding [3]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Vital signs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Assessed and documented before proceeding [3]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Allergies and prior treatment reactions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Reviewed before proceeding [3]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Treatment toxicities to date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Reviewed before proceeding [3]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Pain assessment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Assessed and documented before proceeding [3]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Weight and height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Measured in metric units and verified by two individuals, one a licensed clinician, before any newly prescribed regimen [3]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The two-person weight/height verification exists because dosing is frequently weight- or body-surface-area-based — an error here is a real, direct medication-dosing error, not a paperwork formality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Re-Consent Triggers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change in regimen, dose escalation beyond the originally consented range, or a materially new risk identified during treatment each trigger a fresh consent conversation — the original consent does not silently extend to cover them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Pediatric oncology consent follows this SOP in addition to Tier 6's pediatric consent and guardian authorization requirements, not instead of them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patient's decision to decline or discontinue treatment, including in favor of palliative care, is documented with the same care as a consent to proceed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Consent documentation completeness, including palliative-care-alternative discussion where applicable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Six-element pre-treatment assessment completion rate, every encounter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Weight/height two-person verification compliance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General Informed Consent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Hazardous Drug Handling &amp; Safety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Pediatric Consent &amp; Guardian Authorization (Tier 6)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[ONCOLOGIST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NCBI (PMC). Informed Consent and Chemotherapy — ASCO consent doctrine, materiality, palliative care discussion.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ResearchGate. Informed Consent for Chemotherapy: ASCO Member Resources.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Guideline Central. ASCO/ONS Antineoplastic Therapy Administration Safety Standards for Adult and Pediatric Oncology, 2024.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[ONCOLOGIST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2"/>
              <w:szCs w:val="12"/>
            </w:rPr>
            <w:t xml:space="preserve">  ·  ONC-03-EN · Oncology Consent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Conditional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2026-09-14T01:12:18.007Z</dcterms:created>
  <dcterms:modified xsi:type="dcterms:W3CDTF">2026-09-14T01:12:18.015Z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