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30"/>
          <w:szCs w:val="30"/>
        </w:rPr>
        <w:t xml:space="preserve">Safeguarding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PED-03-EN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Safeguarding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2nd Edition — confirmed local reporting authority (Section 8)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Language Pair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Full parallel version of PED-03-KA — same content, not a summary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1. Purpose · 2. Scope · 3. Definitions and Abbreviations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4. General Provisions · 5. Distribution of Responsibilities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6. Recognizing Indicators · 7. What Staff Do — and Do Not Do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8. Reporting · 9. Special Considerations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10. Process Effectiveness Indicators (KPI) · 11. Accompanying Documentation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12. Approval Sheet · References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To ensure staff at [ORGANIZATION NAME] recognize potential signs of child abuse or neglect and respond appropriately, consistent with real, established clinical safeguarding practice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This SOP applies to every pediatric patient encounter at [ORGANIZATION NAME], across every department a child may pass through.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Definitions and Abbreviations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Mandated reporter — a professional, including any clinician, with a legal duty to report suspected child abuse or neglect [2–3]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Reasonable suspicion — the real, actual legal standard for reporting — not certainty, not proof, and not identification of a perpetrator [2, 4]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General Provisions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The clinician's role is not to prove maltreatment or identify a perpetrator, but to recognize a child who may have experienced abuse and report that concern [2]. Mandatory reporting exists specifically to encourage good-faith reporting based on reasonable cause — not certainty — and this standard, not a higher one, is what staff are held to [2, 4].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Pediatric Lead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Clinical Staff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Quality Manager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SOP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Staff training on indicators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Recognition and initial reporting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Documentation review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Follow-up with reporting authority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Informed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Recognizing Indicators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Recognizing maltreatment requires attending to real patterns and context, not isolated incidents — a single ambiguous sign is not itself proof, and staff are not expected to reach a conclusion, only to notice and report a genuine concern [4–5].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600"/>
        <w:gridCol w:w="6400"/>
      </w:tblGrid>
      <w:tr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Category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Indicators</w:t>
            </w:r>
          </w:p>
        </w:tc>
      </w:tr>
      <w:tr>
        <w:tc>
          <w:tcPr>
            <w:tcW w:type="dxa" w:w="2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Physical</w:t>
            </w:r>
          </w:p>
        </w:tc>
        <w:tc>
          <w:tcPr>
            <w:tcW w:type="dxa" w:w="6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Unexplained bruises, burns, or fractures; injuries in different stages of healing, which can suggest repeated trauma over time rather than a single accident [4–5]</w:t>
            </w:r>
          </w:p>
        </w:tc>
      </w:tr>
      <w:tr>
        <w:tc>
          <w:tcPr>
            <w:tcW w:type="dxa" w:w="2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Behavioral/emotional</w:t>
            </w:r>
          </w:p>
        </w:tc>
        <w:tc>
          <w:tcPr>
            <w:tcW w:type="dxa" w:w="6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Sudden withdrawal, extreme aggression, age-inappropriate sexualized behavior, regression (e.g., loss of previously acquired language or toileting skills), disproportionate fear of a specific caregiver [4]</w:t>
            </w:r>
          </w:p>
        </w:tc>
      </w:tr>
      <w:tr>
        <w:tc>
          <w:tcPr>
            <w:tcW w:type="dxa" w:w="2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Head, face, and neck</w:t>
            </w:r>
          </w:p>
        </w:tc>
        <w:tc>
          <w:tcPr>
            <w:tcW w:type="dxa" w:w="6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Non-accidental injuries in this region are commonly presented in physical abuse, and may be noted during any examination, not only dental care [5]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What Staff Do — and Do Not Do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Document objective, factual observations — what was seen and heard, in the patient's or caregiver's own words where relevant — not conclusions or diagnoses of abuse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If a child discloses something concerning, listen without turning the conversation into an interrogation — repeated, leading questioning can distort a disclosure and complicate any subsequent investigation [4]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Report promptly — waiting for additional proof before reporting is a real, documented, common mistake, not a cautious best practice [4]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Staff do not confront a suspected perpetrator or attempt their own investigation — recognition and reporting, not investigation, is the clinical role [2]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Reporting</w:t>
      </w: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CONFIRMED: suspected child abuse or neglect at [ORGANIZATION NAME] is reported to the national 111 hotline, operated by the Agency for State Care and Assistance for the Statutory Victims of Human Trafficking, under the Ministry of Health of Georgia [6]. The report is made by telephone to 111 as soon as reasonable suspicion exists, following the process in Section 8.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 report is made to the 111 hotline as soon as reasonable suspicion exists — not delayed pending further evidence [6]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The report is documented in the patient's record, including what was reported to the 111 hotline, the time of the call, and any reference/case number provided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Special Considerations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 caregiver who becomes defensive or hostile when abuse is raised is itself sometimes a relevant observation, documented factually, without staff engaging in confrontation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Safeguarding concerns are handled with the same confidentiality discipline as any other patient information, shared only with those who have a genuine need to know (the reporting authority, relevant clinical staff)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Process Effectiveness Indicators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Staff safeguarding training completion rate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Time from recognition to report submission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Documentation completeness for reported concerns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PED-01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Pediatric Consent &amp; Guardian Authorization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SOP-HIM-01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Patient Records Confidentiality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SOP-PS-02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Clinical Incident &amp; Adverse Event Reporting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[PEDIATRIC LEAD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[QUALITY MANAGER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NCBI Bookshelf (StatPearls). Child Abuse and Neglect — the clinician's role as mandated reporter. 2025.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ScienceDirect. Child Protection — an overview — mandatory reporting standard of reasonable cause. 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NCBI Bookshelf (StatPearls). Pennsylvania Child Abuse Recognition and Reporting — mandated reporter duty. 2023.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ChildCareEd. How Should Childcare Providers Recognize and Report Child Abuse and Neglect? — indicators and common pitfalls.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medRxiv. Oral health professionals and child abuse and neglect: a scoping review protocol — head/face/neck injury presentation.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[6] </w:t>
      </w:r>
      <w:r>
        <w:rPr>
          <w:sz w:val="15"/>
          <w:szCs w:val="15"/>
        </w:rPr>
        <w:t xml:space="preserve">UNICEF Georgia. Special hotline launched to support children and families amid COVID-19 pandemic — 111 hotline, Agency for State Care and Assistance for the Statutory Victims of Human Trafficking, Ministry of Health of Georgia.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[PEDIATRIC LEAD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12"/>
              <w:szCs w:val="12"/>
            </w:rPr>
            <w:t xml:space="preserve">  ·  PED-03-EN · Safeguarding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2.0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2026-09-14T13:47:41.549Z</dcterms:created>
  <dcterms:modified xsi:type="dcterms:W3CDTF">2026-09-14T13:47:41.549Z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