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Standard Precautions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SOP-IPC-01-EN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Standard Precautions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SOP-IPC-01-KA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Seven Elements of Standard Precautions · 7. Environmental Surface Cleaning</w:t>
      </w:r>
    </w:p>
    <w:p>
      <w:pPr>
        <w:spacing w:after="110" w:line="260"/>
      </w:pPr>
      <w:r>
        <w:rPr>
          <w:b w:val="false"/>
          <w:bCs w:val="false"/>
          <w:i w:val="false"/>
          <w:iCs w:val="false"/>
          <w:sz w:val="20"/>
          <w:szCs w:val="20"/>
        </w:rPr>
        <w:t xml:space="preserve">8. Respiratory Hygiene and Cough Etiquette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establish the minimum infection prevention practices applied to every patient at [ORGANIZATION NAME], regardless of that patient's known or suspected infection status, consistent with the CDC/HICPAC framework for Standard Precautions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 general consultation, diagnostics, the laboratory/draw station, the oncology treatment area, and pediatric care — without exception. Standard Precautions are never waived because a patient appears healthy or has no known infection.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Standard Precautions — the baseline infection prevention practices applied to all patient care, in all settings, regardless of suspected or confirmed infection status [1]</w:t>
      </w:r>
    </w:p>
    <w:p>
      <w:pPr>
        <w:spacing w:after="70" w:line="245"/>
        <w:ind w:left="260" w:hanging="180"/>
      </w:pPr>
      <w:r>
        <w:rPr>
          <w:sz w:val="19"/>
          <w:szCs w:val="19"/>
        </w:rPr>
        <w:t xml:space="preserve">•  Transmission-Based Precautions — additional precautions applied on top of Standard Precautions when a specific, known or suspected infection requires them (governed by a separate SOP, not this one)</w:t>
      </w:r>
    </w:p>
    <w:p>
      <w:pPr>
        <w:spacing w:after="70" w:line="245"/>
        <w:ind w:left="260" w:hanging="180"/>
      </w:pPr>
      <w:r>
        <w:rPr>
          <w:sz w:val="19"/>
          <w:szCs w:val="19"/>
        </w:rPr>
        <w:t xml:space="preserve">•  PPE — Personal Protective Equipment</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Standard Precautions were first codified in the CDC's 1996 Guideline for Isolation Precautions, integrating what were previously separate “universal precautions” and “body substance isolation” practices into one unified approach, and were expanded in the 2007 update to include safe injection practices as a formal element [1–3]. Every staff member at [ORGANIZATION NAME] applies all seven elements described in Section 6 to every patient, every time — this is a baseline, not a judgment call made per patient.</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Defining element-specific sub-procedures (PPE, sharps, etc.)</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application, every patient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Retraining if noncompliant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Seven Elements of Standard Precautions</w:t>
      </w:r>
    </w:p>
    <w:p>
      <w:pPr>
        <w:spacing w:after="110" w:line="260"/>
      </w:pPr>
      <w:r>
        <w:rPr>
          <w:b w:val="false"/>
          <w:bCs w:val="false"/>
          <w:i w:val="false"/>
          <w:iCs w:val="false"/>
          <w:sz w:val="20"/>
          <w:szCs w:val="20"/>
        </w:rPr>
        <w:t xml:space="preserve">Consistent with the CDC's own framework, Standard Precautions comprise seven real, distinct elements [1–2]. Several have their own dedicated, more detailed SOP; this document establishes that all seven apply universally, and directs staff to the specific procedure governing each.</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500"/>
        <w:gridCol w:w="2600"/>
        <w:gridCol w:w="4800"/>
        <w:gridCol w:w="1100"/>
      </w:tblGrid>
      <w:tr>
        <w:tc>
          <w:tcPr>
            <w:shd w:fill="0E2647" w:val="clear"/>
            <w:tcMar>
              <w:top w:type="dxa" w:w="80"/>
              <w:left w:type="dxa" w:w="100"/>
              <w:bottom w:type="dxa" w:w="80"/>
              <w:right w:type="dxa" w:w="80"/>
            </w:tcMar>
          </w:tcPr>
          <w:p>
            <w:r>
              <w:rPr>
                <w:b/>
                <w:bCs/>
                <w:color w:val="FFFFFF"/>
                <w:sz w:val="14"/>
                <w:szCs w:val="14"/>
              </w:rPr>
              <w:t xml:space="preserve">#</w:t>
            </w:r>
          </w:p>
        </w:tc>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Covered By / Description</w:t>
            </w:r>
          </w:p>
        </w:tc>
      </w:tr>
      <w:tr>
        <w:tc>
          <w:tcPr>
            <w:tcW w:type="dxa" w:w="500"/>
            <w:tcMar>
              <w:top w:type="dxa" w:w="80"/>
              <w:left w:type="dxa" w:w="100"/>
              <w:bottom w:type="dxa" w:w="80"/>
              <w:right w:type="dxa" w:w="80"/>
            </w:tcMar>
            <w:vAlign w:val="center"/>
          </w:tcPr>
          <w:p>
            <w:r>
              <w:rPr>
                <w:b/>
                <w:bCs/>
                <w:color w:val="0E2647"/>
                <w:sz w:val="18"/>
                <w:szCs w:val="18"/>
              </w:rPr>
              <w:t xml:space="preserve">1</w:t>
            </w:r>
          </w:p>
        </w:tc>
        <w:tc>
          <w:tcPr>
            <w:tcW w:type="dxa" w:w="2600"/>
            <w:tcMar>
              <w:top w:type="dxa" w:w="80"/>
              <w:left w:type="dxa" w:w="100"/>
              <w:bottom w:type="dxa" w:w="80"/>
              <w:right w:type="dxa" w:w="80"/>
            </w:tcMar>
            <w:vAlign w:val="center"/>
          </w:tcPr>
          <w:p>
            <w:r>
              <w:rPr>
                <w:b/>
                <w:bCs/>
                <w:sz w:val="15"/>
                <w:szCs w:val="15"/>
              </w:rPr>
              <w:t xml:space="preserve">Hand hygiene</w:t>
            </w:r>
          </w:p>
        </w:tc>
        <w:tc>
          <w:tcPr>
            <w:tcW w:type="dxa" w:w="4800"/>
            <w:tcMar>
              <w:top w:type="dxa" w:w="80"/>
              <w:left w:type="dxa" w:w="100"/>
              <w:bottom w:type="dxa" w:w="80"/>
              <w:right w:type="dxa" w:w="80"/>
            </w:tcMar>
            <w:vAlign w:val="center"/>
          </w:tcPr>
          <w:p>
            <w:r>
              <w:rPr>
                <w:sz w:val="14"/>
                <w:szCs w:val="14"/>
              </w:rPr>
              <w:t xml:space="preserve">Full technique, moments, and monitoring — see SOP-IPC-02</w:t>
            </w:r>
          </w:p>
        </w:tc>
      </w:tr>
      <w:tr>
        <w:tc>
          <w:tcPr>
            <w:tcW w:type="dxa" w:w="500"/>
            <w:tcMar>
              <w:top w:type="dxa" w:w="80"/>
              <w:left w:type="dxa" w:w="100"/>
              <w:bottom w:type="dxa" w:w="80"/>
              <w:right w:type="dxa" w:w="80"/>
            </w:tcMar>
            <w:vAlign w:val="center"/>
          </w:tcPr>
          <w:p>
            <w:r>
              <w:rPr>
                <w:b/>
                <w:bCs/>
                <w:color w:val="0E2647"/>
                <w:sz w:val="18"/>
                <w:szCs w:val="18"/>
              </w:rPr>
              <w:t xml:space="preserve">2</w:t>
            </w:r>
          </w:p>
        </w:tc>
        <w:tc>
          <w:tcPr>
            <w:tcW w:type="dxa" w:w="2600"/>
            <w:tcMar>
              <w:top w:type="dxa" w:w="80"/>
              <w:left w:type="dxa" w:w="100"/>
              <w:bottom w:type="dxa" w:w="80"/>
              <w:right w:type="dxa" w:w="80"/>
            </w:tcMar>
            <w:vAlign w:val="center"/>
          </w:tcPr>
          <w:p>
            <w:r>
              <w:rPr>
                <w:b/>
                <w:bCs/>
                <w:sz w:val="15"/>
                <w:szCs w:val="15"/>
              </w:rPr>
              <w:t xml:space="preserve">Personal protective equipment (PPE)</w:t>
            </w:r>
          </w:p>
        </w:tc>
        <w:tc>
          <w:tcPr>
            <w:tcW w:type="dxa" w:w="4800"/>
            <w:tcMar>
              <w:top w:type="dxa" w:w="80"/>
              <w:left w:type="dxa" w:w="100"/>
              <w:bottom w:type="dxa" w:w="80"/>
              <w:right w:type="dxa" w:w="80"/>
            </w:tcMar>
            <w:vAlign w:val="center"/>
          </w:tcPr>
          <w:p>
            <w:r>
              <w:rPr>
                <w:sz w:val="14"/>
                <w:szCs w:val="14"/>
              </w:rPr>
              <w:t xml:space="preserve">Gloves, masks, eyewear, gowns, selected by anticipated exposure — see SOP-IPC-03</w:t>
            </w:r>
          </w:p>
        </w:tc>
      </w:tr>
      <w:tr>
        <w:tc>
          <w:tcPr>
            <w:tcW w:type="dxa" w:w="500"/>
            <w:tcMar>
              <w:top w:type="dxa" w:w="80"/>
              <w:left w:type="dxa" w:w="100"/>
              <w:bottom w:type="dxa" w:w="80"/>
              <w:right w:type="dxa" w:w="80"/>
            </w:tcMar>
            <w:vAlign w:val="center"/>
          </w:tcPr>
          <w:p>
            <w:r>
              <w:rPr>
                <w:b/>
                <w:bCs/>
                <w:color w:val="0E2647"/>
                <w:sz w:val="18"/>
                <w:szCs w:val="18"/>
              </w:rPr>
              <w:t xml:space="preserve">3</w:t>
            </w:r>
          </w:p>
        </w:tc>
        <w:tc>
          <w:tcPr>
            <w:tcW w:type="dxa" w:w="2600"/>
            <w:tcMar>
              <w:top w:type="dxa" w:w="80"/>
              <w:left w:type="dxa" w:w="100"/>
              <w:bottom w:type="dxa" w:w="80"/>
              <w:right w:type="dxa" w:w="80"/>
            </w:tcMar>
            <w:vAlign w:val="center"/>
          </w:tcPr>
          <w:p>
            <w:r>
              <w:rPr>
                <w:b/>
                <w:bCs/>
                <w:sz w:val="15"/>
                <w:szCs w:val="15"/>
              </w:rPr>
              <w:t xml:space="preserve">Respiratory hygiene / cough etiquette</w:t>
            </w:r>
          </w:p>
        </w:tc>
        <w:tc>
          <w:tcPr>
            <w:tcW w:type="dxa" w:w="4800"/>
            <w:tcMar>
              <w:top w:type="dxa" w:w="80"/>
              <w:left w:type="dxa" w:w="100"/>
              <w:bottom w:type="dxa" w:w="80"/>
              <w:right w:type="dxa" w:w="80"/>
            </w:tcMar>
            <w:vAlign w:val="center"/>
          </w:tcPr>
          <w:p>
            <w:r>
              <w:rPr>
                <w:sz w:val="14"/>
                <w:szCs w:val="14"/>
              </w:rPr>
              <w:t xml:space="preserve">Covered directly in Section 8 of this SOP</w:t>
            </w:r>
          </w:p>
        </w:tc>
      </w:tr>
      <w:tr>
        <w:tc>
          <w:tcPr>
            <w:tcW w:type="dxa" w:w="500"/>
            <w:tcMar>
              <w:top w:type="dxa" w:w="80"/>
              <w:left w:type="dxa" w:w="100"/>
              <w:bottom w:type="dxa" w:w="80"/>
              <w:right w:type="dxa" w:w="80"/>
            </w:tcMar>
            <w:vAlign w:val="center"/>
          </w:tcPr>
          <w:p>
            <w:r>
              <w:rPr>
                <w:b/>
                <w:bCs/>
                <w:color w:val="0E2647"/>
                <w:sz w:val="18"/>
                <w:szCs w:val="18"/>
              </w:rPr>
              <w:t xml:space="preserve">4</w:t>
            </w:r>
          </w:p>
        </w:tc>
        <w:tc>
          <w:tcPr>
            <w:tcW w:type="dxa" w:w="2600"/>
            <w:tcMar>
              <w:top w:type="dxa" w:w="80"/>
              <w:left w:type="dxa" w:w="100"/>
              <w:bottom w:type="dxa" w:w="80"/>
              <w:right w:type="dxa" w:w="80"/>
            </w:tcMar>
            <w:vAlign w:val="center"/>
          </w:tcPr>
          <w:p>
            <w:r>
              <w:rPr>
                <w:b/>
                <w:bCs/>
                <w:sz w:val="15"/>
                <w:szCs w:val="15"/>
              </w:rPr>
              <w:t xml:space="preserve">Sharps safety</w:t>
            </w:r>
          </w:p>
        </w:tc>
        <w:tc>
          <w:tcPr>
            <w:tcW w:type="dxa" w:w="4800"/>
            <w:tcMar>
              <w:top w:type="dxa" w:w="80"/>
              <w:left w:type="dxa" w:w="100"/>
              <w:bottom w:type="dxa" w:w="80"/>
              <w:right w:type="dxa" w:w="80"/>
            </w:tcMar>
            <w:vAlign w:val="center"/>
          </w:tcPr>
          <w:p>
            <w:r>
              <w:rPr>
                <w:sz w:val="14"/>
                <w:szCs w:val="14"/>
              </w:rPr>
              <w:t xml:space="preserve">Engineering and work-practice controls — see SOP-IPC-08</w:t>
            </w:r>
          </w:p>
        </w:tc>
      </w:tr>
      <w:tr>
        <w:tc>
          <w:tcPr>
            <w:tcW w:type="dxa" w:w="500"/>
            <w:tcMar>
              <w:top w:type="dxa" w:w="80"/>
              <w:left w:type="dxa" w:w="100"/>
              <w:bottom w:type="dxa" w:w="80"/>
              <w:right w:type="dxa" w:w="80"/>
            </w:tcMar>
            <w:vAlign w:val="center"/>
          </w:tcPr>
          <w:p>
            <w:r>
              <w:rPr>
                <w:b/>
                <w:bCs/>
                <w:color w:val="0E2647"/>
                <w:sz w:val="18"/>
                <w:szCs w:val="18"/>
              </w:rPr>
              <w:t xml:space="preserve">5</w:t>
            </w:r>
          </w:p>
        </w:tc>
        <w:tc>
          <w:tcPr>
            <w:tcW w:type="dxa" w:w="2600"/>
            <w:tcMar>
              <w:top w:type="dxa" w:w="80"/>
              <w:left w:type="dxa" w:w="100"/>
              <w:bottom w:type="dxa" w:w="80"/>
              <w:right w:type="dxa" w:w="80"/>
            </w:tcMar>
            <w:vAlign w:val="center"/>
          </w:tcPr>
          <w:p>
            <w:r>
              <w:rPr>
                <w:b/>
                <w:bCs/>
                <w:sz w:val="15"/>
                <w:szCs w:val="15"/>
              </w:rPr>
              <w:t xml:space="preserve">Safe injection practices</w:t>
            </w:r>
          </w:p>
        </w:tc>
        <w:tc>
          <w:tcPr>
            <w:tcW w:type="dxa" w:w="4800"/>
            <w:tcMar>
              <w:top w:type="dxa" w:w="80"/>
              <w:left w:type="dxa" w:w="100"/>
              <w:bottom w:type="dxa" w:w="80"/>
              <w:right w:type="dxa" w:w="80"/>
            </w:tcMar>
            <w:vAlign w:val="center"/>
          </w:tcPr>
          <w:p>
            <w:r>
              <w:rPr>
                <w:sz w:val="14"/>
                <w:szCs w:val="14"/>
              </w:rPr>
              <w:t xml:space="preserve">Aseptic technique for parenteral medications — see SOP-IPC-07</w:t>
            </w:r>
          </w:p>
        </w:tc>
      </w:tr>
      <w:tr>
        <w:tc>
          <w:tcPr>
            <w:tcW w:type="dxa" w:w="500"/>
            <w:tcMar>
              <w:top w:type="dxa" w:w="80"/>
              <w:left w:type="dxa" w:w="100"/>
              <w:bottom w:type="dxa" w:w="80"/>
              <w:right w:type="dxa" w:w="80"/>
            </w:tcMar>
            <w:vAlign w:val="center"/>
          </w:tcPr>
          <w:p>
            <w:r>
              <w:rPr>
                <w:b/>
                <w:bCs/>
                <w:color w:val="0E2647"/>
                <w:sz w:val="18"/>
                <w:szCs w:val="18"/>
              </w:rPr>
              <w:t xml:space="preserve">6</w:t>
            </w:r>
          </w:p>
        </w:tc>
        <w:tc>
          <w:tcPr>
            <w:tcW w:type="dxa" w:w="2600"/>
            <w:tcMar>
              <w:top w:type="dxa" w:w="80"/>
              <w:left w:type="dxa" w:w="100"/>
              <w:bottom w:type="dxa" w:w="80"/>
              <w:right w:type="dxa" w:w="80"/>
            </w:tcMar>
            <w:vAlign w:val="center"/>
          </w:tcPr>
          <w:p>
            <w:r>
              <w:rPr>
                <w:b/>
                <w:bCs/>
                <w:sz w:val="15"/>
                <w:szCs w:val="15"/>
              </w:rPr>
              <w:t xml:space="preserve">Sterile instruments and devices</w:t>
            </w:r>
          </w:p>
        </w:tc>
        <w:tc>
          <w:tcPr>
            <w:tcW w:type="dxa" w:w="4800"/>
            <w:tcMar>
              <w:top w:type="dxa" w:w="80"/>
              <w:left w:type="dxa" w:w="100"/>
              <w:bottom w:type="dxa" w:w="80"/>
              <w:right w:type="dxa" w:w="80"/>
            </w:tcMar>
            <w:vAlign w:val="center"/>
          </w:tcPr>
          <w:p>
            <w:r>
              <w:rPr>
                <w:sz w:val="14"/>
                <w:szCs w:val="14"/>
              </w:rPr>
              <w:t xml:space="preserve">Cleaning, disinfection, sterilization — see SOP-STR series (Tier 3)</w:t>
            </w:r>
          </w:p>
        </w:tc>
      </w:tr>
      <w:tr>
        <w:tc>
          <w:tcPr>
            <w:tcW w:type="dxa" w:w="500"/>
            <w:tcMar>
              <w:top w:type="dxa" w:w="80"/>
              <w:left w:type="dxa" w:w="100"/>
              <w:bottom w:type="dxa" w:w="80"/>
              <w:right w:type="dxa" w:w="80"/>
            </w:tcMar>
            <w:vAlign w:val="center"/>
          </w:tcPr>
          <w:p>
            <w:r>
              <w:rPr>
                <w:b/>
                <w:bCs/>
                <w:color w:val="0E2647"/>
                <w:sz w:val="18"/>
                <w:szCs w:val="18"/>
              </w:rPr>
              <w:t xml:space="preserve">7</w:t>
            </w:r>
          </w:p>
        </w:tc>
        <w:tc>
          <w:tcPr>
            <w:tcW w:type="dxa" w:w="2600"/>
            <w:tcMar>
              <w:top w:type="dxa" w:w="80"/>
              <w:left w:type="dxa" w:w="100"/>
              <w:bottom w:type="dxa" w:w="80"/>
              <w:right w:type="dxa" w:w="80"/>
            </w:tcMar>
            <w:vAlign w:val="center"/>
          </w:tcPr>
          <w:p>
            <w:r>
              <w:rPr>
                <w:b/>
                <w:bCs/>
                <w:sz w:val="15"/>
                <w:szCs w:val="15"/>
              </w:rPr>
              <w:t xml:space="preserve">Clean and disinfected environmental surfaces</w:t>
            </w:r>
          </w:p>
        </w:tc>
        <w:tc>
          <w:tcPr>
            <w:tcW w:type="dxa" w:w="4800"/>
            <w:tcMar>
              <w:top w:type="dxa" w:w="80"/>
              <w:left w:type="dxa" w:w="100"/>
              <w:bottom w:type="dxa" w:w="80"/>
              <w:right w:type="dxa" w:w="80"/>
            </w:tcMar>
            <w:vAlign w:val="center"/>
          </w:tcPr>
          <w:p>
            <w:r>
              <w:rPr>
                <w:sz w:val="14"/>
                <w:szCs w:val="14"/>
              </w:rPr>
              <w:t xml:space="preserve">Covered directly in Section 7 of this SOP</w:t>
            </w:r>
          </w:p>
        </w:tc>
      </w:tr>
    </w:tbl>
    <w:p>
      <w:pPr>
        <w:pStyle w:val="Heading1"/>
        <w:spacing w:after="120" w:before="240"/>
      </w:pPr>
      <w:r>
        <w:rPr>
          <w:b/>
          <w:bCs/>
          <w:color w:val="0E2647"/>
          <w:sz w:val="24"/>
          <w:szCs w:val="24"/>
        </w:rPr>
        <w:t xml:space="preserve">7. Environmental Surface Cleaning</w:t>
      </w:r>
    </w:p>
    <w:p>
      <w:pPr>
        <w:spacing w:after="110" w:line="260"/>
      </w:pPr>
      <w:r>
        <w:rPr>
          <w:b w:val="false"/>
          <w:bCs w:val="false"/>
          <w:i w:val="false"/>
          <w:iCs w:val="false"/>
          <w:sz w:val="20"/>
          <w:szCs w:val="20"/>
        </w:rPr>
        <w:t xml:space="preserve">Patient-contact surfaces (exam tables, chairs, equipment) are cleaned and disinfected between every patient, using a disinfectant appropriate to the surface and the specific risk of the procedure performed. High-touch surfaces (door handles, light switches) in shared clinical areas are cleaned on a defined schedule, logged on the Environmental Cleaning Log (Tier 8).</w:t>
      </w:r>
    </w:p>
    <w:p>
      <w:pPr>
        <w:pStyle w:val="Heading1"/>
        <w:spacing w:after="120" w:before="240"/>
      </w:pPr>
      <w:r>
        <w:rPr>
          <w:b/>
          <w:bCs/>
          <w:color w:val="0E2647"/>
          <w:sz w:val="24"/>
          <w:szCs w:val="24"/>
        </w:rPr>
        <w:t xml:space="preserve">8. Respiratory Hygiene and Cough Etiquette</w:t>
      </w:r>
    </w:p>
    <w:p>
      <w:pPr>
        <w:spacing w:after="110" w:line="260"/>
      </w:pPr>
      <w:r>
        <w:rPr>
          <w:b w:val="false"/>
          <w:bCs w:val="false"/>
          <w:i w:val="false"/>
          <w:iCs w:val="false"/>
          <w:sz w:val="20"/>
          <w:szCs w:val="20"/>
        </w:rPr>
        <w:t xml:space="preserve">Patients and visitors displaying respiratory symptoms are offered a mask and directed to cover coughs/sneezes with a tissue or their sleeve, not their hand, consistent with real CDC guidance [4]. Staff perform hand hygiene (SOP-IPC-02) after any contact with respiratory secretions, and signage prompting respiratory hygiene is posted at entry points and waiting areas.</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Standard Precautions apply in full in the oncology treatment area and pediatric exam rooms — no element is relaxed because a patient is a child or is undergoing treatment</w:t>
      </w:r>
    </w:p>
    <w:p>
      <w:pPr>
        <w:spacing w:after="70" w:line="245"/>
        <w:ind w:left="260" w:hanging="180"/>
      </w:pPr>
      <w:r>
        <w:rPr>
          <w:sz w:val="19"/>
          <w:szCs w:val="19"/>
        </w:rPr>
        <w:t xml:space="preserve">•  A patient with a known or suspected transmissible infection receives Standard Precautions plus Transmission-Based Precautions, governed by a separate SOP — Standard Precautions are never replaced, only supplemented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Environmental cleaning audit compliance rate</w:t>
      </w:r>
    </w:p>
    <w:p>
      <w:pPr>
        <w:spacing w:after="70" w:line="245"/>
        <w:ind w:left="260" w:hanging="180"/>
      </w:pPr>
      <w:r>
        <w:rPr>
          <w:sz w:val="19"/>
          <w:szCs w:val="19"/>
        </w:rPr>
        <w:t xml:space="preserve">•  Respiratory hygiene signage and supply availability, checked quarterly</w:t>
      </w:r>
    </w:p>
    <w:p>
      <w:pPr>
        <w:spacing w:after="70" w:line="245"/>
        <w:ind w:left="260" w:hanging="180"/>
      </w:pPr>
      <w:r>
        <w:rPr>
          <w:sz w:val="19"/>
          <w:szCs w:val="19"/>
        </w:rPr>
        <w:t>•  Aggregate compliance across all seven elements, reviewed at Management Review (GOV-03)</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 xml:space="preserve">SOP-IPC-03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 xml:space="preserve">SOP-IPC-07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 xml:space="preserve">SOP-IPC-08</w:t>
            </w:r>
          </w:p>
        </w:tc>
        <w:tc>
          <w:tcPr>
            <w:tcMar>
              <w:top w:type="dxa" w:w="70"/>
              <w:left w:type="dxa" w:w="100"/>
              <w:bottom w:type="dxa" w:w="70"/>
              <w:right w:type="dxa" w:w="90"/>
            </w:tcMar>
            <w:vAlign w:val="center"/>
          </w:tcPr>
          <w:p>
            <w:r>
              <w:rPr>
                <w:b w:val="false"/>
                <w:bCs w:val="false"/>
                <w:sz w:val="15"/>
                <w:szCs w:val="15"/>
              </w:rPr>
              <w:t xml:space="preserve">Sharps Safety</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Standard Precautions. Dental Infection Prevention and Control. 2026.</w:t>
      </w:r>
    </w:p>
    <w:p>
      <w:pPr>
        <w:spacing w:after="90" w:line="230"/>
        <w:ind w:left="320" w:hanging="320"/>
      </w:pPr>
      <w:r>
        <w:rPr>
          <w:b/>
          <w:bCs/>
          <w:color w:val="0E2647"/>
          <w:sz w:val="15"/>
          <w:szCs w:val="15"/>
        </w:rPr>
        <w:t xml:space="preserve">[2] </w:t>
      </w:r>
      <w:r>
        <w:rPr>
          <w:sz w:val="15"/>
          <w:szCs w:val="15"/>
        </w:rPr>
        <w:t xml:space="preserve">California Department of Public Health, Healthcare-Associated Infections Program. Basics of Infection Prevention: Standard Precautions. 2019.</w:t>
      </w:r>
    </w:p>
    <w:p>
      <w:pPr>
        <w:spacing w:after="90" w:line="230"/>
        <w:ind w:left="320" w:hanging="320"/>
      </w:pPr>
      <w:r>
        <w:rPr>
          <w:b/>
          <w:bCs/>
          <w:color w:val="0E2647"/>
          <w:sz w:val="15"/>
          <w:szCs w:val="15"/>
        </w:rPr>
        <w:t xml:space="preserve">[3] </w:t>
      </w:r>
      <w:r>
        <w:rPr>
          <w:sz w:val="15"/>
          <w:szCs w:val="15"/>
        </w:rPr>
        <w:t xml:space="preserve">National Center for Biotechnology Information (StatPearls). Universal Precautions. 2026.</w:t>
      </w:r>
    </w:p>
    <w:p>
      <w:pPr>
        <w:spacing w:after="90" w:line="230"/>
        <w:ind w:left="320" w:hanging="320"/>
      </w:pPr>
      <w:r>
        <w:rPr>
          <w:b/>
          <w:bCs/>
          <w:color w:val="0E2647"/>
          <w:sz w:val="15"/>
          <w:szCs w:val="15"/>
        </w:rPr>
        <w:t xml:space="preserve">[4] </w:t>
      </w:r>
      <w:r>
        <w:rPr>
          <w:sz w:val="15"/>
          <w:szCs w:val="15"/>
        </w:rPr>
        <w:t xml:space="preserve">Infection Control Consulting Services (ICCS). Infection Prevention: What to Know About Standard Precautions.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SOP-IPC-01-EN · Standard Precautions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2026-09-13T21:25:53.910Z</dcterms:created>
  <dcterms:modified xsi:type="dcterms:W3CDTF">2026-09-13T21:25:53.921Z</dcterms:modified>
</cp:coreProperties>
</file>

<file path=docProps/custom.xml><?xml version="1.0" encoding="utf-8"?>
<Properties xmlns="http://schemas.openxmlformats.org/officeDocument/2006/custom-properties" xmlns:vt="http://schemas.openxmlformats.org/officeDocument/2006/docPropsVTypes"/>
</file>