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Sharps Safety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SOP-IPC-08-EN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Sharps Safety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SOP-IPC-08-KA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Engineering Controls · 7. Safe Handling and Disposal</w:t>
      </w:r>
    </w:p>
    <w:p>
      <w:pPr>
        <w:spacing w:after="110" w:line="260"/>
      </w:pPr>
      <w:r>
        <w:rPr>
          <w:b w:val="false"/>
          <w:bCs w:val="false"/>
          <w:i w:val="false"/>
          <w:iCs w:val="false"/>
          <w:sz w:val="20"/>
          <w:szCs w:val="20"/>
        </w:rPr>
        <w:t xml:space="preserve">8. Regulated Medical Waste Bagging · 9. Post-Exposure Response</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prevent sharps and needlestick injuries at [ORGANIZATION NAME] through engineering controls, safe work practices, and correct disposal, consistent with the U.S. Needlestick Safety and Prevention Act of 2000 and OSHA's Bloodborne Pathogens Standard, 29 CFR 1910.1030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use and disposal of a sharp — needles, lancets, scalpels, and any device capable of puncturing skin — at [ORGANIZATION NAME], including general consultation, the laboratory/draw station, the oncology treatment area, and pediatric vaccination.</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Sharp — any object capable of puncturing skin: needles, lancets, scalpels, broken glass contaminated with blood or body fluid</w:t>
      </w:r>
    </w:p>
    <w:p>
      <w:pPr>
        <w:spacing w:after="70" w:line="245"/>
        <w:ind w:left="260" w:hanging="180"/>
      </w:pPr>
      <w:r>
        <w:rPr>
          <w:sz w:val="19"/>
          <w:szCs w:val="19"/>
        </w:rPr>
        <w:t xml:space="preserve">•  Safety-engineered device — a sharp with a built-in mechanism (shielding, retraction) that reduces the risk of injury after use, considered the primary means of exposure control [1–3]</w:t>
      </w:r>
    </w:p>
    <w:p>
      <w:pPr>
        <w:spacing w:after="70" w:line="245"/>
        <w:ind w:left="260" w:hanging="180"/>
      </w:pPr>
      <w:r>
        <w:rPr>
          <w:sz w:val="19"/>
          <w:szCs w:val="19"/>
        </w:rPr>
        <w:t xml:space="preserve">•  Regulated medical waste — waste contaminated with blood or body fluid, including used sharps</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Sharps injuries are a real, documented, and largely preventable occupational hazard: the CDC estimates healthcare workers sustain nearly 600,000 percutaneous injuries annually from contaminated sharps, with roughly one-third of these injuries occurring specifically during disposal, not use [3–4]. Engineering controls — safety-engineered devices and needleless systems — are the primary means of eliminating this exposure, ahead of PPE or work-practice controls alone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Safety-engineered device selection (with frontline input)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Sharps Injury Log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Correct handling/disposal, every use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Post-exposure incident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Engineering Controls</w:t>
      </w:r>
    </w:p>
    <w:p>
      <w:pPr>
        <w:spacing w:after="110" w:line="260"/>
      </w:pPr>
      <w:r>
        <w:rPr>
          <w:b w:val="false"/>
          <w:bCs w:val="false"/>
          <w:i w:val="false"/>
          <w:iCs w:val="false"/>
          <w:sz w:val="20"/>
          <w:szCs w:val="20"/>
        </w:rPr>
        <w:t xml:space="preserve">[ORGANIZATION NAME] uses safety-engineered sharps devices (shielded needles, retractable lancets, needleless IV systems) wherever a clinically appropriate device exists — no single device is considered appropriate for every circumstance, and selection is genuinely evaluated per procedure type [1, 5].</w:t>
      </w:r>
    </w:p>
    <w:p>
      <w:pPr>
        <w:pBdr>
          <w:left w:val="single" w:color="C9A227" w:sz="16" w:space="10"/>
        </w:pBdr>
        <w:shd w:fill="FFF8E7" w:val="clear"/>
        <w:spacing w:after="160" w:before="110"/>
      </w:pPr>
      <w:r>
        <w:rPr>
          <w:i/>
          <w:iCs/>
          <w:color w:val="5C4A0A"/>
          <w:sz w:val="18"/>
          <w:szCs w:val="18"/>
        </w:rPr>
        <w:t xml:space="preserve">Consistent with the Needlestick Safety and Prevention Act, staff who directly perform the procedure — not only management — are consulted in the identification, evaluation, and selection of safety-engineered devices before purchase [1, 5]. This is a real, specific legal requirement, not a courtesy.</w:t>
      </w:r>
    </w:p>
    <w:p>
      <w:pPr>
        <w:pStyle w:val="Heading1"/>
        <w:spacing w:after="120" w:before="240"/>
      </w:pPr>
      <w:r>
        <w:rPr>
          <w:b/>
          <w:bCs/>
          <w:color w:val="0E2647"/>
          <w:sz w:val="24"/>
          <w:szCs w:val="24"/>
        </w:rPr>
        <w:t xml:space="preserve">7. Safe Handling and Disposal</w:t>
      </w:r>
    </w:p>
    <w:p>
      <w:pPr>
        <w:spacing w:after="90" w:line="255"/>
        <w:ind w:left="340" w:hanging="340"/>
      </w:pPr>
      <w:r>
        <w:rPr>
          <w:b/>
          <w:bCs/>
          <w:color w:val="0E2647"/>
          <w:sz w:val="19"/>
          <w:szCs w:val="19"/>
        </w:rPr>
        <w:t xml:space="preserve">Step 1.  </w:t>
      </w:r>
      <w:r>
        <w:rPr>
          <w:sz w:val="19"/>
          <w:szCs w:val="19"/>
        </w:rPr>
        <w:t xml:space="preserve">Never recap, bend, or break a used needle by hand under any circumstance</w:t>
      </w:r>
    </w:p>
    <w:p>
      <w:pPr>
        <w:spacing w:after="90" w:line="255"/>
        <w:ind w:left="340" w:hanging="340"/>
      </w:pPr>
      <w:r>
        <w:rPr>
          <w:b/>
          <w:bCs/>
          <w:color w:val="0E2647"/>
          <w:sz w:val="19"/>
          <w:szCs w:val="19"/>
        </w:rPr>
        <w:t xml:space="preserve">Step 2.  </w:t>
      </w:r>
      <w:r>
        <w:rPr>
          <w:sz w:val="19"/>
          <w:szCs w:val="19"/>
        </w:rPr>
        <w:t xml:space="preserve">Activate the safety mechanism on any safety-engineered device immediately after use, before setting the device down</w:t>
      </w:r>
    </w:p>
    <w:p>
      <w:pPr>
        <w:spacing w:after="90" w:line="255"/>
        <w:ind w:left="340" w:hanging="340"/>
      </w:pPr>
      <w:r>
        <w:rPr>
          <w:b/>
          <w:bCs/>
          <w:color w:val="0E2647"/>
          <w:sz w:val="19"/>
          <w:szCs w:val="19"/>
        </w:rPr>
        <w:t xml:space="preserve">Step 3.  </w:t>
      </w:r>
      <w:r>
        <w:rPr>
          <w:sz w:val="19"/>
          <w:szCs w:val="19"/>
        </w:rPr>
        <w:t xml:space="preserve">Dispose of the sharp immediately after use into a puncture-resistant, leakproof, biohazard-labeled sharps container — never into general waste [3–4]</w:t>
      </w:r>
    </w:p>
    <w:p>
      <w:pPr>
        <w:spacing w:after="90" w:line="255"/>
        <w:ind w:left="340" w:hanging="340"/>
      </w:pPr>
      <w:r>
        <w:rPr>
          <w:b/>
          <w:bCs/>
          <w:color w:val="0E2647"/>
          <w:sz w:val="19"/>
          <w:szCs w:val="19"/>
        </w:rPr>
        <w:t xml:space="preserve">Step 4.  </w:t>
      </w:r>
      <w:r>
        <w:rPr>
          <w:sz w:val="19"/>
          <w:szCs w:val="19"/>
        </w:rPr>
        <w:t xml:space="preserve">Sharps containers are located at every point of use — exam rooms, the laboratory/draw station, and the oncology treatment area</w:t>
      </w:r>
    </w:p>
    <w:p>
      <w:pPr>
        <w:spacing w:after="90" w:line="255"/>
        <w:ind w:left="340" w:hanging="340"/>
      </w:pPr>
      <w:r>
        <w:rPr>
          <w:b/>
          <w:bCs/>
          <w:color w:val="0E2647"/>
          <w:sz w:val="19"/>
          <w:szCs w:val="19"/>
        </w:rPr>
        <w:t xml:space="preserve">Step 5.  </w:t>
      </w:r>
      <w:r>
        <w:rPr>
          <w:sz w:val="19"/>
          <w:szCs w:val="19"/>
        </w:rPr>
        <w:t xml:space="preserve">Replace a sharps container before it reaches the manufacturer's fill line — never overfilled [3–4]</w:t>
      </w:r>
    </w:p>
    <w:p>
      <w:pPr>
        <w:pStyle w:val="Heading1"/>
        <w:spacing w:after="120" w:before="240"/>
      </w:pPr>
      <w:r>
        <w:rPr>
          <w:b/>
          <w:bCs/>
          <w:color w:val="0E2647"/>
          <w:sz w:val="24"/>
          <w:szCs w:val="24"/>
        </w:rPr>
        <w:t xml:space="preserve">8. Regulated Medical Waste Bagging</w:t>
      </w:r>
    </w:p>
    <w:p>
      <w:pPr>
        <w:spacing w:after="110" w:line="260"/>
      </w:pPr>
      <w:r>
        <w:rPr>
          <w:b w:val="false"/>
          <w:bCs w:val="false"/>
          <w:i w:val="false"/>
          <w:iCs w:val="false"/>
          <w:sz w:val="20"/>
          <w:szCs w:val="20"/>
        </w:rPr>
        <w:t xml:space="preserve">Regulated medical waste is placed in a single, sturdy, leak-resistant biohazard bag; a bag that becomes punctured or externally contaminated is placed into a second bag before disposal [4]. Sharps containers and regulated medical waste are collected by a licensed medical waste disposal contractor, whose credentials are verified and kept on file (Tier 7, Supplier Evaluation).</w:t>
      </w:r>
    </w:p>
    <w:p>
      <w:pPr>
        <w:pStyle w:val="Heading1"/>
        <w:spacing w:after="120" w:before="240"/>
      </w:pPr>
      <w:r>
        <w:rPr>
          <w:b/>
          <w:bCs/>
          <w:color w:val="0E2647"/>
          <w:sz w:val="24"/>
          <w:szCs w:val="24"/>
        </w:rPr>
        <w:t xml:space="preserve">9. Post-Exposure Response</w:t>
      </w:r>
    </w:p>
    <w:p>
      <w:pPr>
        <w:spacing w:after="110" w:line="260"/>
      </w:pPr>
      <w:r>
        <w:rPr>
          <w:b w:val="false"/>
          <w:bCs w:val="false"/>
          <w:i w:val="false"/>
          <w:iCs w:val="false"/>
          <w:sz w:val="20"/>
          <w:szCs w:val="20"/>
        </w:rPr>
        <w:t>Any sharps injury is reported immediately, regardless of severity. The affected area is washed with soap and water (mucous membranes flushed with water) immediately, and the incident is documented on the Sharps Injury Log and the Incident Log (Tier 8), consistent with the confidential sharps injury log required under the Needlestick Safety and Prevention Act [1, 5]. Post-exposure medical evaluation is arranged without delay, following the same good-faith, non-punitive reporting principle already established under the Nonconformity Procedure (GOV-01).</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In the oncology treatment area, sharps used for hazardous drug administration follow this procedure in addition to the Tier 5 Cytotoxic Waste Disposal procedure, not instead of it</w:t>
      </w:r>
    </w:p>
    <w:p>
      <w:pPr>
        <w:spacing w:after="70" w:line="245"/>
        <w:ind w:left="260" w:hanging="180"/>
      </w:pPr>
      <w:r>
        <w:rPr>
          <w:sz w:val="19"/>
          <w:szCs w:val="19"/>
        </w:rPr>
        <w:t xml:space="preserve">•  Pediatric vaccination sharps follow the same disposal requirements as any other sharp — no exception for smaller-gauge needles</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Zero preventable sharps injuries per year (real, non-negotiable target)</w:t>
      </w:r>
    </w:p>
    <w:p>
      <w:pPr>
        <w:spacing w:after="70" w:line="245"/>
        <w:ind w:left="260" w:hanging="180"/>
      </w:pPr>
      <w:r>
        <w:rPr>
          <w:sz w:val="19"/>
          <w:szCs w:val="19"/>
        </w:rPr>
        <w:t xml:space="preserve">•  Sharps container fill-level compliance, observed during audit</w:t>
      </w:r>
    </w:p>
    <w:p>
      <w:pPr>
        <w:spacing w:after="70" w:line="245"/>
        <w:ind w:left="260" w:hanging="180"/>
      </w:pPr>
      <w:r>
        <w:rPr>
          <w:sz w:val="19"/>
          <w:szCs w:val="19"/>
        </w:rPr>
        <w:t xml:space="preserve">•  Safety-engineered device usage rate across applicable procedures</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 xml:space="preserve">SOP-IPC-03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 xml:space="preserve">SOP-IPC-07</w:t>
            </w:r>
          </w:p>
        </w:tc>
        <w:tc>
          <w:tcPr>
            <w:tcMar>
              <w:top w:type="dxa" w:w="70"/>
              <w:left w:type="dxa" w:w="100"/>
              <w:bottom w:type="dxa" w:w="70"/>
              <w:right w:type="dxa" w:w="90"/>
            </w:tcMar>
            <w:vAlign w:val="center"/>
          </w:tcPr>
          <w:p>
            <w:r>
              <w:rPr>
                <w:b w:val="false"/>
                <w:bCs w:val="false"/>
                <w:sz w:val="15"/>
                <w:szCs w:val="15"/>
              </w:rPr>
              <w:t xml:space="preserve">Safe Injection Practices</w:t>
            </w:r>
          </w:p>
        </w:tc>
      </w:tr>
      <w:tr>
        <w:tc>
          <w:tcPr>
            <w:tcMar>
              <w:top w:type="dxa" w:w="70"/>
              <w:left w:type="dxa" w:w="100"/>
              <w:bottom w:type="dxa" w:w="70"/>
              <w:right w:type="dxa" w:w="90"/>
            </w:tcMar>
            <w:vAlign w:val="center"/>
          </w:tcPr>
          <w:p>
            <w:r>
              <w:rPr>
                <w:b/>
                <w:bCs/>
                <w:sz w:val="15"/>
                <w:szCs w:val="15"/>
              </w:rPr>
              <w:t xml:space="preserve">ONC-04</w:t>
            </w:r>
          </w:p>
        </w:tc>
        <w:tc>
          <w:tcPr>
            <w:tcMar>
              <w:top w:type="dxa" w:w="70"/>
              <w:left w:type="dxa" w:w="100"/>
              <w:bottom w:type="dxa" w:w="70"/>
              <w:right w:type="dxa" w:w="90"/>
            </w:tcMar>
            <w:vAlign w:val="center"/>
          </w:tcPr>
          <w:p>
            <w:r>
              <w:rPr>
                <w:b w:val="false"/>
                <w:bCs w:val="false"/>
                <w:sz w:val="15"/>
                <w:szCs w:val="15"/>
              </w:rPr>
              <w:t xml:space="preserve">Cytotoxic Waste Disposal (Tier 5)</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Occupational Safety and Health Administration. Needlestick Safety and Prevention Act of 2000, amending 29 CFR 1910.1030.</w:t>
      </w:r>
    </w:p>
    <w:p>
      <w:pPr>
        <w:spacing w:after="90" w:line="230"/>
        <w:ind w:left="320" w:hanging="320"/>
      </w:pPr>
      <w:r>
        <w:rPr>
          <w:b/>
          <w:bCs/>
          <w:color w:val="0E2647"/>
          <w:sz w:val="15"/>
          <w:szCs w:val="15"/>
        </w:rPr>
        <w:t xml:space="preserve">[2] </w:t>
      </w:r>
      <w:r>
        <w:rPr>
          <w:sz w:val="15"/>
          <w:szCs w:val="15"/>
        </w:rPr>
        <w:t xml:space="preserve">Occupational Safety and Health Administration. Bloodborne Pathogens Standard, 29 CFR 1910.1030 — General Guidance.</w:t>
      </w:r>
    </w:p>
    <w:p>
      <w:pPr>
        <w:spacing w:after="90" w:line="230"/>
        <w:ind w:left="320" w:hanging="320"/>
      </w:pPr>
      <w:r>
        <w:rPr>
          <w:b/>
          <w:bCs/>
          <w:color w:val="0E2647"/>
          <w:sz w:val="15"/>
          <w:szCs w:val="15"/>
        </w:rPr>
        <w:t xml:space="preserve">[3] </w:t>
      </w:r>
      <w:r>
        <w:rPr>
          <w:sz w:val="15"/>
          <w:szCs w:val="15"/>
        </w:rPr>
        <w:t xml:space="preserve">Centers for Disease Control and Prevention. Sharps Safety Program Resources. 2026.</w:t>
      </w:r>
    </w:p>
    <w:p>
      <w:pPr>
        <w:spacing w:after="90" w:line="230"/>
        <w:ind w:left="320" w:hanging="320"/>
      </w:pPr>
      <w:r>
        <w:rPr>
          <w:b/>
          <w:bCs/>
          <w:color w:val="0E2647"/>
          <w:sz w:val="15"/>
          <w:szCs w:val="15"/>
        </w:rPr>
        <w:t xml:space="preserve">[4] </w:t>
      </w:r>
      <w:r>
        <w:rPr>
          <w:sz w:val="15"/>
          <w:szCs w:val="15"/>
        </w:rPr>
        <w:t xml:space="preserve">Stericycle. Understanding Proper Sharps Waste Disposal. 2026.</w:t>
      </w:r>
    </w:p>
    <w:p>
      <w:pPr>
        <w:spacing w:after="90" w:line="230"/>
        <w:ind w:left="320" w:hanging="320"/>
      </w:pPr>
      <w:r>
        <w:rPr>
          <w:b/>
          <w:bCs/>
          <w:color w:val="0E2647"/>
          <w:sz w:val="15"/>
          <w:szCs w:val="15"/>
        </w:rPr>
        <w:t xml:space="preserve">[5] </w:t>
      </w:r>
      <w:r>
        <w:rPr>
          <w:sz w:val="15"/>
          <w:szCs w:val="15"/>
        </w:rPr>
        <w:t xml:space="preserve">Occupational Safety and Health Administration. Revision to OSHA's Bloodborne Pathogens Standard — Needlestick Safety and Prevention Act.</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SOP-IPC-08-EN · Sharps Safety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2026-09-13T22:15:02.874Z</dcterms:created>
  <dcterms:modified xsi:type="dcterms:W3CDTF">2026-09-13T22:15:02.883Z</dcterms:modified>
</cp:coreProperties>
</file>

<file path=docProps/custom.xml><?xml version="1.0" encoding="utf-8"?>
<Properties xmlns="http://schemas.openxmlformats.org/officeDocument/2006/custom-properties" xmlns:vt="http://schemas.openxmlformats.org/officeDocument/2006/docPropsVTypes"/>
</file>