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ნიმუშის უარყოფის კრიტერიუმები</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 xml:space="preserve">SOP-LAB-03-KA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ნიმუშის უარყოფის კრიტერიუმები</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უარყოფის კრიტერიუმები და მიზეზების რეალური განაწილება · 7. შეუცვლელი ნიმუშის გამონაკლისი</w:t>
      </w:r>
    </w:p>
    <w:p>
      <w:pPr>
        <w:spacing w:after="110" w:line="260"/>
      </w:pPr>
      <w:r>
        <w:rPr>
          <w:b w:val="false"/>
          <w:bCs w:val="false"/>
          <w:i w:val="false"/>
          <w:iCs w:val="false"/>
          <w:sz w:val="20"/>
          <w:szCs w:val="20"/>
        </w:rPr>
        <w:t xml:space="preserve">8. უარყოფის პროცესი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ნიმუშის, რომელსაც არ შეუძლია სანდო შედეგის მოცემა, გამოვლენისა და უარყოფის უზრუნველყოფა ანალიზამდე, კომპრომეტირებული ან შეცდომაში შემყვანი მნიშვნელობის მოხსენების ნაცვლად, რეალურ, დოკუმენტირებულ ნიმუშის უარყოფის მტკიცებულებასთან შესაბამისობით [1–2].</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NAME]-ის ლაბორატორიაში მიღებულ ყოველ ნიმუშზე, აღების წყაროსა თუ მომთხოვნი განყოფილების მიუხედავად.</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QNS — არასაკმარისი რაოდენობა, არასაკმარისად შევსებული ნიმუშის ამპულა</w:t>
      </w:r>
    </w:p>
    <w:p>
      <w:pPr>
        <w:spacing w:after="70" w:line="245"/>
        <w:ind w:left="260" w:hanging="180"/>
      </w:pPr>
      <w:r>
        <w:rPr>
          <w:sz w:val="19"/>
          <w:szCs w:val="19"/>
        </w:rPr>
        <w:t xml:space="preserve">•  შეუცვლელი ნიმუში — ნიმუში, რომლის ხელახლა აღება გონივრულად შეუძლებელია (მაგ., ცერებროსპინალური სითხე, ძვლის ტვინი, გარკვეული პედიატრიული აღება), რომელიც საჭიროებს განსხვავებულ მართვის გადაწყვეტილებას რუტინული უარმყოფელი ნიმუშისგან</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რეალურმა, ყოვლისმომცველმა მეტა-ანალიზმა 16 მილიონზე მეტი სისხლის ნიმუშის მოთხოვნაზე დაადგინა გლობალური უარყოფის ერთობლივი მაჩვენებელი 1.99% [1]. ოთხი წამყვანი მიზეზი — შედედებული ნიმუში, ჰემოლიზი, არასაკმარისი მოცულობა და ეტიკეტირების შეცდომები — შეადგენს თავიდან ასაცილებელი უარყოფების უდიდეს ნაწილს, ხოლო კოლექტორის სათანადო მომზადება არის დოკუმენტირებული, ეფექტური საწინააღმდეგო ზომა [1–2].</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ლაბორატორიის ხელმძღვანელი</w:t>
            </w:r>
          </w:p>
        </w:tc>
        <w:tc>
          <w:tcPr>
            <w:shd w:fill="0E2647" w:val="clear"/>
            <w:tcMar>
              <w:top w:type="dxa" w:w="70"/>
              <w:left w:type="dxa" w:w="80"/>
              <w:bottom w:type="dxa" w:w="70"/>
              <w:right w:type="dxa" w:w="70"/>
            </w:tcMar>
          </w:tcPr>
          <w:p>
            <w:pPr>
              <w:jc w:val="center"/>
            </w:pPr>
            <w:r>
              <w:rPr>
                <w:b/>
                <w:bCs/>
                <w:color w:val="FFFFFF"/>
                <w:sz w:val="13"/>
                <w:szCs w:val="13"/>
              </w:rPr>
              <w:t xml:space="preserve">ლაბორანტი</w:t>
            </w:r>
          </w:p>
        </w:tc>
        <w:tc>
          <w:tcPr>
            <w:shd w:fill="0E2647" w:val="clear"/>
            <w:tcMar>
              <w:top w:type="dxa" w:w="70"/>
              <w:left w:type="dxa" w:w="80"/>
              <w:bottom w:type="dxa" w:w="70"/>
              <w:right w:type="dxa" w:w="70"/>
            </w:tcMar>
          </w:tcPr>
          <w:p>
            <w:pPr>
              <w:jc w:val="center"/>
            </w:pPr>
            <w:r>
              <w:rPr>
                <w:b/>
                <w:bCs/>
                <w:color w:val="FFFFFF"/>
                <w:sz w:val="13"/>
                <w:szCs w:val="13"/>
              </w:rPr>
              <w:t xml:space="preserve">ფლებოტომისტი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უარყოფის კრიტერიუმების გადახედვა/განახლება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უარყოფის კრიტერიუმების გამოყენება მიღებისას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ხელახალი აღება საჭიროებისას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უარყოფის მაჩვენებლის ტენდენციის მიმოხილვა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უარყოფის კრიტერიუმები და მიზეზების რეალური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1400"/>
        <w:gridCol w:w="5400"/>
      </w:tblGrid>
      <w:tr>
        <w:tc>
          <w:tcPr>
            <w:shd w:fill="0E2647" w:val="clear"/>
            <w:tcMar>
              <w:top w:type="dxa" w:w="80"/>
              <w:left w:type="dxa" w:w="100"/>
              <w:bottom w:type="dxa" w:w="80"/>
              <w:right w:type="dxa" w:w="80"/>
            </w:tcMar>
          </w:tcPr>
          <w:p>
            <w:r>
              <w:rPr>
                <w:b/>
                <w:bCs/>
                <w:color w:val="FFFFFF"/>
                <w:sz w:val="13"/>
                <w:szCs w:val="13"/>
              </w:rPr>
              <w:t xml:space="preserve">მიზეზი</w:t>
            </w:r>
          </w:p>
        </w:tc>
        <w:tc>
          <w:tcPr>
            <w:shd w:fill="0E2647" w:val="clear"/>
            <w:tcMar>
              <w:top w:type="dxa" w:w="80"/>
              <w:left w:type="dxa" w:w="100"/>
              <w:bottom w:type="dxa" w:w="80"/>
              <w:right w:type="dxa" w:w="80"/>
            </w:tcMar>
          </w:tcPr>
          <w:p>
            <w:r>
              <w:rPr>
                <w:b/>
                <w:bCs/>
                <w:color w:val="FFFFFF"/>
                <w:sz w:val="13"/>
                <w:szCs w:val="13"/>
              </w:rPr>
              <w:t xml:space="preserve">წილი უარყოფებში</w:t>
            </w:r>
          </w:p>
        </w:tc>
        <w:tc>
          <w:tcPr>
            <w:shd w:fill="0E2647" w:val="clear"/>
            <w:tcMar>
              <w:top w:type="dxa" w:w="80"/>
              <w:left w:type="dxa" w:w="100"/>
              <w:bottom w:type="dxa" w:w="80"/>
              <w:right w:type="dxa" w:w="80"/>
            </w:tcMar>
          </w:tcPr>
          <w:p>
            <w:r>
              <w:rPr>
                <w:b/>
                <w:bCs/>
                <w:color w:val="FFFFFF"/>
                <w:sz w:val="13"/>
                <w:szCs w:val="13"/>
              </w:rPr>
              <w:t xml:space="preserve">შენიშვნები</w:t>
            </w:r>
          </w:p>
        </w:tc>
      </w:tr>
      <w:tr>
        <w:tc>
          <w:tcPr>
            <w:tcW w:type="dxa" w:w="2200"/>
            <w:tcMar>
              <w:top w:type="dxa" w:w="80"/>
              <w:left w:type="dxa" w:w="100"/>
              <w:bottom w:type="dxa" w:w="80"/>
              <w:right w:type="dxa" w:w="80"/>
            </w:tcMar>
            <w:vAlign w:val="center"/>
          </w:tcPr>
          <w:p>
            <w:r>
              <w:rPr>
                <w:b/>
                <w:bCs/>
                <w:sz w:val="14"/>
                <w:szCs w:val="14"/>
              </w:rPr>
              <w:t xml:space="preserve">შედედებული ნიმუში</w:t>
            </w:r>
          </w:p>
        </w:tc>
        <w:tc>
          <w:tcPr>
            <w:tcW w:type="dxa" w:w="1400"/>
            <w:tcMar>
              <w:top w:type="dxa" w:w="80"/>
              <w:left w:type="dxa" w:w="100"/>
              <w:bottom w:type="dxa" w:w="80"/>
              <w:right w:type="dxa" w:w="80"/>
            </w:tcMar>
            <w:vAlign w:val="center"/>
          </w:tcPr>
          <w:p>
            <w:r>
              <w:rPr>
                <w:b/>
                <w:bCs/>
                <w:color w:val="0E2647"/>
                <w:sz w:val="15"/>
                <w:szCs w:val="15"/>
              </w:rPr>
              <w:t xml:space="preserve">~32%</w:t>
            </w:r>
          </w:p>
        </w:tc>
        <w:tc>
          <w:tcPr>
            <w:tcW w:type="dxa" w:w="5400"/>
            <w:tcMar>
              <w:top w:type="dxa" w:w="80"/>
              <w:left w:type="dxa" w:w="100"/>
              <w:bottom w:type="dxa" w:w="80"/>
              <w:right w:type="dxa" w:w="80"/>
            </w:tcMar>
            <w:vAlign w:val="center"/>
          </w:tcPr>
          <w:p>
            <w:r>
              <w:rPr>
                <w:sz w:val="13"/>
                <w:szCs w:val="13"/>
              </w:rPr>
              <w:t xml:space="preserve">წამყვანი რეალური მიზეზი გლობალურად; განსაკუთრებით მოქმედებს კოაგულაციის ამპულებზე [1–2]</w:t>
            </w:r>
          </w:p>
        </w:tc>
      </w:tr>
      <w:tr>
        <w:tc>
          <w:tcPr>
            <w:tcW w:type="dxa" w:w="2200"/>
            <w:tcMar>
              <w:top w:type="dxa" w:w="80"/>
              <w:left w:type="dxa" w:w="100"/>
              <w:bottom w:type="dxa" w:w="80"/>
              <w:right w:type="dxa" w:w="80"/>
            </w:tcMar>
            <w:vAlign w:val="center"/>
          </w:tcPr>
          <w:p>
            <w:r>
              <w:rPr>
                <w:b/>
                <w:bCs/>
                <w:sz w:val="14"/>
                <w:szCs w:val="14"/>
              </w:rPr>
              <w:t xml:space="preserve">ჰემოლიზი</w:t>
            </w:r>
          </w:p>
        </w:tc>
        <w:tc>
          <w:tcPr>
            <w:tcW w:type="dxa" w:w="1400"/>
            <w:tcMar>
              <w:top w:type="dxa" w:w="80"/>
              <w:left w:type="dxa" w:w="100"/>
              <w:bottom w:type="dxa" w:w="80"/>
              <w:right w:type="dxa" w:w="80"/>
            </w:tcMar>
            <w:vAlign w:val="center"/>
          </w:tcPr>
          <w:p>
            <w:r>
              <w:rPr>
                <w:b/>
                <w:bCs/>
                <w:color w:val="0E2647"/>
                <w:sz w:val="15"/>
                <w:szCs w:val="15"/>
              </w:rPr>
              <w:t xml:space="preserve">~23%</w:t>
            </w:r>
          </w:p>
        </w:tc>
        <w:tc>
          <w:tcPr>
            <w:tcW w:type="dxa" w:w="5400"/>
            <w:tcMar>
              <w:top w:type="dxa" w:w="80"/>
              <w:left w:type="dxa" w:w="100"/>
              <w:bottom w:type="dxa" w:w="80"/>
              <w:right w:type="dxa" w:w="80"/>
            </w:tcMar>
            <w:vAlign w:val="center"/>
          </w:tcPr>
          <w:p>
            <w:r>
              <w:rPr>
                <w:sz w:val="13"/>
                <w:szCs w:val="13"/>
              </w:rPr>
              <w:t xml:space="preserve">ცრუდ ცვლის კალიუმს, LDH-ს და სხვა ანალიტებს; ხშირად გამოწვეულია აღების ტექნიკით</w:t>
            </w:r>
          </w:p>
        </w:tc>
      </w:tr>
      <w:tr>
        <w:tc>
          <w:tcPr>
            <w:tcW w:type="dxa" w:w="2200"/>
            <w:tcMar>
              <w:top w:type="dxa" w:w="80"/>
              <w:left w:type="dxa" w:w="100"/>
              <w:bottom w:type="dxa" w:w="80"/>
              <w:right w:type="dxa" w:w="80"/>
            </w:tcMar>
            <w:vAlign w:val="center"/>
          </w:tcPr>
          <w:p>
            <w:r>
              <w:rPr>
                <w:b/>
                <w:bCs/>
                <w:sz w:val="14"/>
                <w:szCs w:val="14"/>
              </w:rPr>
              <w:t xml:space="preserve">არასაკმარისი მოცულობა (QNS)</w:t>
            </w:r>
          </w:p>
        </w:tc>
        <w:tc>
          <w:tcPr>
            <w:tcW w:type="dxa" w:w="1400"/>
            <w:tcMar>
              <w:top w:type="dxa" w:w="80"/>
              <w:left w:type="dxa" w:w="100"/>
              <w:bottom w:type="dxa" w:w="80"/>
              <w:right w:type="dxa" w:w="80"/>
            </w:tcMar>
            <w:vAlign w:val="center"/>
          </w:tcPr>
          <w:p>
            <w:r>
              <w:rPr>
                <w:b/>
                <w:bCs/>
                <w:color w:val="0E2647"/>
                <w:sz w:val="15"/>
                <w:szCs w:val="15"/>
              </w:rPr>
              <w:t xml:space="preserve">~23%</w:t>
            </w:r>
          </w:p>
        </w:tc>
        <w:tc>
          <w:tcPr>
            <w:tcW w:type="dxa" w:w="5400"/>
            <w:tcMar>
              <w:top w:type="dxa" w:w="80"/>
              <w:left w:type="dxa" w:w="100"/>
              <w:bottom w:type="dxa" w:w="80"/>
              <w:right w:type="dxa" w:w="80"/>
            </w:tcMar>
            <w:vAlign w:val="center"/>
          </w:tcPr>
          <w:p>
            <w:r>
              <w:rPr>
                <w:sz w:val="13"/>
                <w:szCs w:val="13"/>
              </w:rPr>
              <w:t xml:space="preserve">ციტრატის/კოაგულაციის ამპულებისთვის, CLSI მოითხოვს შევსებას განსაზღვრული აღების მოცულობის 10%-ის ფარგლებში სწორი 9:1 სისხლი-ანტიკოაგულანტის თანაფარდობის შესანარჩუნებლად [3]</w:t>
            </w:r>
          </w:p>
        </w:tc>
      </w:tr>
      <w:tr>
        <w:tc>
          <w:tcPr>
            <w:tcW w:type="dxa" w:w="2200"/>
            <w:tcMar>
              <w:top w:type="dxa" w:w="80"/>
              <w:left w:type="dxa" w:w="100"/>
              <w:bottom w:type="dxa" w:w="80"/>
              <w:right w:type="dxa" w:w="80"/>
            </w:tcMar>
            <w:vAlign w:val="center"/>
          </w:tcPr>
          <w:p>
            <w:r>
              <w:rPr>
                <w:b/>
                <w:bCs/>
                <w:sz w:val="14"/>
                <w:szCs w:val="14"/>
              </w:rPr>
              <w:t xml:space="preserve">ეტიკეტირების შეცდომები</w:t>
            </w:r>
          </w:p>
        </w:tc>
        <w:tc>
          <w:tcPr>
            <w:tcW w:type="dxa" w:w="1400"/>
            <w:tcMar>
              <w:top w:type="dxa" w:w="80"/>
              <w:left w:type="dxa" w:w="100"/>
              <w:bottom w:type="dxa" w:w="80"/>
              <w:right w:type="dxa" w:w="80"/>
            </w:tcMar>
            <w:vAlign w:val="center"/>
          </w:tcPr>
          <w:p>
            <w:r>
              <w:rPr>
                <w:b/>
                <w:bCs/>
                <w:color w:val="0E2647"/>
                <w:sz w:val="15"/>
                <w:szCs w:val="15"/>
              </w:rPr>
              <w:t xml:space="preserve">~7%</w:t>
            </w:r>
          </w:p>
        </w:tc>
        <w:tc>
          <w:tcPr>
            <w:tcW w:type="dxa" w:w="5400"/>
            <w:tcMar>
              <w:top w:type="dxa" w:w="80"/>
              <w:left w:type="dxa" w:w="100"/>
              <w:bottom w:type="dxa" w:w="80"/>
              <w:right w:type="dxa" w:w="80"/>
            </w:tcMar>
            <w:vAlign w:val="center"/>
          </w:tcPr>
          <w:p>
            <w:r>
              <w:rPr>
                <w:sz w:val="13"/>
                <w:szCs w:val="13"/>
              </w:rPr>
              <w:t xml:space="preserve">დაკარგული, არასწორი ან ამოუკითხავი პაციენტის იდენტიფიკატორები ამპულაზე [1–2]</w:t>
            </w:r>
          </w:p>
        </w:tc>
      </w:tr>
    </w:tbl>
    <w:p>
      <w:pPr>
        <w:pBdr>
          <w:left w:val="single" w:color="C9A227" w:sz="16" w:space="10"/>
        </w:pBdr>
        <w:shd w:fill="FFF8E7" w:val="clear"/>
        <w:spacing w:after="160" w:before="110"/>
      </w:pPr>
      <w:r>
        <w:rPr>
          <w:i/>
          <w:iCs/>
          <w:color w:val="5C4A0A"/>
          <w:sz w:val="18"/>
          <w:szCs w:val="18"/>
        </w:rPr>
        <w:t xml:space="preserve">ეს ოთხი მიზეზი შეადგენს თავიდან ასაცილებელი ნიმუშის ჩავარდნების უდიდეს ნაწილს — უარყოფის კრიტერიუმები და პერსონალის მომზადება ფოკუსირებულია კონკრეტულად მათზე, არა ზოგადად "ნიმუშის ხარისხზე" [1–2].</w:t>
      </w:r>
    </w:p>
    <w:p>
      <w:pPr>
        <w:pStyle w:val="Heading1"/>
        <w:spacing w:after="120" w:before="240"/>
      </w:pPr>
      <w:r>
        <w:rPr>
          <w:b/>
          <w:bCs/>
          <w:color w:val="0E2647"/>
          <w:sz w:val="24"/>
          <w:szCs w:val="24"/>
        </w:rPr>
        <w:t xml:space="preserve">7. შეუცვლელი ნიმუშის გამონაკლისი</w:t>
      </w:r>
    </w:p>
    <w:p>
      <w:pPr>
        <w:spacing w:after="110" w:line="260"/>
      </w:pPr>
      <w:r>
        <w:rPr>
          <w:b w:val="false"/>
          <w:bCs w:val="false"/>
          <w:i w:val="false"/>
          <w:iCs w:val="false"/>
          <w:sz w:val="20"/>
          <w:szCs w:val="20"/>
        </w:rPr>
        <w:t xml:space="preserve">ნიმუში, რომლის ხელახლა აღება გონივრულად შეუძლებელია — ცერებროსპინალური სითხე, ძვლის ტვინი ან გარკვეული პედიატრიული აღება — არ ისვრება ავტომატურად იმავე წესის მიხედვით, რაც რუტინული ნიმუში. კლინიკურად შესაბამის შემთხვევებში, ის მოწმდება დოკუმენტირებული გაფრთხილებით, რომელიც აღნიშნავს ნიმუშის მდგომარეობასა და მის შესაძლო გავლენას შედეგის ინტერპრეტაციაზე, სრული უარყოფის ნაცვლად, ხოლო დამნიშნავ ექიმს პირდაპირ ეცნობება შეზღუდვის შესახებ.</w:t>
      </w:r>
    </w:p>
    <w:p>
      <w:pPr>
        <w:pStyle w:val="Heading1"/>
        <w:spacing w:after="120" w:before="240"/>
      </w:pPr>
      <w:r>
        <w:rPr>
          <w:b/>
          <w:bCs/>
          <w:color w:val="0E2647"/>
          <w:sz w:val="24"/>
          <w:szCs w:val="24"/>
        </w:rPr>
        <w:t xml:space="preserve">8. უარყოფის პროცესი</w:t>
      </w:r>
    </w:p>
    <w:p>
      <w:pPr>
        <w:spacing w:after="90" w:line="255"/>
        <w:ind w:left="340" w:hanging="340"/>
      </w:pPr>
      <w:r>
        <w:rPr>
          <w:b/>
          <w:bCs/>
          <w:color w:val="0E2647"/>
          <w:sz w:val="19"/>
          <w:szCs w:val="19"/>
        </w:rPr>
        <w:t xml:space="preserve">ნაბიჯი 1.  </w:t>
      </w:r>
      <w:r>
        <w:rPr>
          <w:sz w:val="19"/>
          <w:szCs w:val="19"/>
        </w:rPr>
        <w:t xml:space="preserve">შეამოწმეთ ყოველი ნიმუში მიღებისას მე-6 ნაწილში მოცემულ კრიტერიუმებთან, ანალიზის დაწყებამდე</w:t>
      </w:r>
    </w:p>
    <w:p>
      <w:pPr>
        <w:spacing w:after="90" w:line="255"/>
        <w:ind w:left="340" w:hanging="340"/>
      </w:pPr>
      <w:r>
        <w:rPr>
          <w:b/>
          <w:bCs/>
          <w:color w:val="0E2647"/>
          <w:sz w:val="19"/>
          <w:szCs w:val="19"/>
        </w:rPr>
        <w:t xml:space="preserve">ნაბიჯი 2.  </w:t>
      </w:r>
      <w:r>
        <w:rPr>
          <w:sz w:val="19"/>
          <w:szCs w:val="19"/>
        </w:rPr>
        <w:t xml:space="preserve">ნიმუში, რომელიც აკმაყოფილებს უარყოფის კრიტერიუმებს, არ ანალიზდება — მოთხოვნილია ხელახალი აღება</w:t>
      </w:r>
    </w:p>
    <w:p>
      <w:pPr>
        <w:spacing w:after="90" w:line="255"/>
        <w:ind w:left="340" w:hanging="340"/>
      </w:pPr>
      <w:r>
        <w:rPr>
          <w:b/>
          <w:bCs/>
          <w:color w:val="0E2647"/>
          <w:sz w:val="19"/>
          <w:szCs w:val="19"/>
        </w:rPr>
        <w:t xml:space="preserve">ნაბიჯი 3.  </w:t>
      </w:r>
      <w:r>
        <w:rPr>
          <w:sz w:val="19"/>
          <w:szCs w:val="19"/>
        </w:rPr>
        <w:t xml:space="preserve">დააფიქსირეთ უარყოფის მიზეზი და დაუყოვნებლივ შეატყობინეთ დამნიშნავ კლინიცისტს, ვინაიდან დაგვიანებულ შედეგს აქვს საკუთარი რეალური კლინიკური ღირებულება</w:t>
      </w:r>
    </w:p>
    <w:p>
      <w:pPr>
        <w:spacing w:after="90" w:line="255"/>
        <w:ind w:left="340" w:hanging="340"/>
      </w:pPr>
      <w:r>
        <w:rPr>
          <w:b/>
          <w:bCs/>
          <w:color w:val="0E2647"/>
          <w:sz w:val="19"/>
          <w:szCs w:val="19"/>
        </w:rPr>
        <w:t xml:space="preserve">ნაბიჯი 4.  </w:t>
      </w:r>
      <w:r>
        <w:rPr>
          <w:sz w:val="19"/>
          <w:szCs w:val="19"/>
        </w:rPr>
        <w:t xml:space="preserve">შეუცვლელი ნიმუშისთვის, გამოიყენეთ მე-7 ნაწილი ავტომატური უარყოფის ნაცვლად</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პედიატრიულ ნიმუშებს გააჩნია რეალურად უფრო მაღალი ხელახალი აღების ტვირთი — პერსონალი განსაკუთრებულ ყურადღებას აქცევს პირველი მცდელობის აღების ხარისხს პედიატრიულ პაციენტებში</w:t>
      </w:r>
    </w:p>
    <w:p>
      <w:pPr>
        <w:spacing w:after="70" w:line="245"/>
        <w:ind w:left="260" w:hanging="180"/>
      </w:pPr>
      <w:r>
        <w:rPr>
          <w:sz w:val="19"/>
          <w:szCs w:val="19"/>
        </w:rPr>
        <w:t xml:space="preserve">•  ონკოლოგიური პაციენტები მყიფე ვენური წვდომით საჭიროებენ იმავე ფრთხილ პირველი მცდელობის მიდგომას</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ნიმუშის უარყოფის მაჩვენებელი, თვალყურის დევნებული რეალურ გლობალურ ორიენტირთან (დაახლოებით 2%)</w:t>
      </w:r>
    </w:p>
    <w:p>
      <w:pPr>
        <w:spacing w:after="70" w:line="245"/>
        <w:ind w:left="260" w:hanging="180"/>
      </w:pPr>
      <w:r>
        <w:rPr>
          <w:sz w:val="19"/>
          <w:szCs w:val="19"/>
        </w:rPr>
        <w:t xml:space="preserve">•  უარყოფის მიზეზების განაწილება, გადახედილი ტენდენციებზე მე-6 ნაწილის რეალურ მიზეზთა რანჟირებასთან შედარებით</w:t>
      </w:r>
    </w:p>
    <w:p>
      <w:pPr>
        <w:spacing w:after="70" w:line="245"/>
        <w:ind w:left="260" w:hanging="180"/>
      </w:pPr>
      <w:r>
        <w:rPr>
          <w:sz w:val="19"/>
          <w:szCs w:val="19"/>
        </w:rPr>
        <w:t xml:space="preserve">•  ხელახალი აღების შესრულების დრო</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 xml:space="preserve">SOP-LAB-01</w:t>
            </w:r>
          </w:p>
        </w:tc>
        <w:tc>
          <w:tcPr>
            <w:tcMar>
              <w:top w:type="dxa" w:w="70"/>
              <w:left w:type="dxa" w:w="100"/>
              <w:bottom w:type="dxa" w:w="70"/>
              <w:right w:type="dxa" w:w="90"/>
            </w:tcMar>
            <w:vAlign w:val="center"/>
          </w:tcPr>
          <w:p>
            <w:r>
              <w:rPr>
                <w:b w:val="false"/>
                <w:bCs w:val="false"/>
                <w:sz w:val="15"/>
                <w:szCs w:val="15"/>
              </w:rPr>
              <w:t xml:space="preserve">ნიმუშის აღება და მიკვლევადობის ჯაჭვი</w:t>
            </w:r>
          </w:p>
        </w:tc>
      </w:tr>
      <w:tr>
        <w:tc>
          <w:tcPr>
            <w:tcMar>
              <w:top w:type="dxa" w:w="70"/>
              <w:left w:type="dxa" w:w="100"/>
              <w:bottom w:type="dxa" w:w="70"/>
              <w:right w:type="dxa" w:w="90"/>
            </w:tcMar>
            <w:vAlign w:val="center"/>
          </w:tcPr>
          <w:p>
            <w:r>
              <w:rPr>
                <w:b/>
                <w:bCs/>
                <w:sz w:val="15"/>
                <w:szCs w:val="15"/>
              </w:rPr>
              <w:t xml:space="preserve">SOP-LAB-02</w:t>
            </w:r>
          </w:p>
        </w:tc>
        <w:tc>
          <w:tcPr>
            <w:tcMar>
              <w:top w:type="dxa" w:w="70"/>
              <w:left w:type="dxa" w:w="100"/>
              <w:bottom w:type="dxa" w:w="70"/>
              <w:right w:type="dxa" w:w="90"/>
            </w:tcMar>
            <w:vAlign w:val="center"/>
          </w:tcPr>
          <w:p>
            <w:r>
              <w:rPr>
                <w:b w:val="false"/>
                <w:bCs w:val="false"/>
                <w:sz w:val="15"/>
                <w:szCs w:val="15"/>
              </w:rPr>
              <w:t xml:space="preserve">ლაბორატორიის შიდა ხარისხის კონტროლი</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შეუსაბამობა და მაკორექტირებელი ქმედება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[ლაბორატორიის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Systematic review and meta-analysis. Blood specimen rejection rate in clinical laboratory. ScienceDirect/PMC, 2022 (26 კვლევა, 16,118,499 მოთხოვნა).</w:t>
      </w:r>
    </w:p>
    <w:p>
      <w:pPr>
        <w:spacing w:after="90" w:line="230"/>
        <w:ind w:left="320" w:hanging="320"/>
      </w:pPr>
      <w:r>
        <w:rPr>
          <w:b/>
          <w:bCs/>
          <w:color w:val="0E2647"/>
          <w:sz w:val="15"/>
          <w:szCs w:val="15"/>
        </w:rPr>
        <w:t xml:space="preserve">[2] </w:t>
      </w:r>
      <w:r>
        <w:rPr>
          <w:sz w:val="15"/>
          <w:szCs w:val="15"/>
        </w:rPr>
        <w:t xml:space="preserve">Bio-Reach. Specimen Rejection Criteria in Clinical Laboratories: When and Why Samples Are Rejected. 2026.</w:t>
      </w:r>
    </w:p>
    <w:p>
      <w:pPr>
        <w:spacing w:after="90" w:line="230"/>
        <w:ind w:left="320" w:hanging="320"/>
      </w:pPr>
      <w:r>
        <w:rPr>
          <w:b/>
          <w:bCs/>
          <w:color w:val="0E2647"/>
          <w:sz w:val="15"/>
          <w:szCs w:val="15"/>
        </w:rPr>
        <w:t xml:space="preserve">[3] </w:t>
      </w:r>
      <w:r>
        <w:rPr>
          <w:sz w:val="15"/>
          <w:szCs w:val="15"/>
        </w:rPr>
        <w:t xml:space="preserve">Bio-Reach. Specimen Rejection Criteria — CLSI-ის 10%-იანი შევსების მოცულობის მოთხოვნა კოაგულაციის ამპულებისთვის. 2026.</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[ლაბორატორიის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SOP-LAB-03-KA · ნიმუშის უარყოფა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2026-09-14T00:33:46.152Z</dcterms:created>
  <dcterms:modified xsi:type="dcterms:W3CDTF">2026-09-14T00:33:46.162Z</dcterms:modified>
</cp:coreProperties>
</file>

<file path=docProps/custom.xml><?xml version="1.0" encoding="utf-8"?>
<Properties xmlns="http://schemas.openxmlformats.org/officeDocument/2006/custom-properties" xmlns:vt="http://schemas.openxmlformats.org/officeDocument/2006/docPropsVTypes"/>
</file>