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00" w:before="100"/>
        <w:jc w:val="center"/>
      </w:pPr>
      <w:r>
        <w:drawing>
          <wp:inline distT="0" distB="0" distL="0" distR="0">
            <wp:extent cx="619125" cy="57150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9" cstate="none"/>
                    <a:srcRect/>
                    <a:stretch>
                      <a:fillRect/>
                    </a:stretch>
                  </pic:blipFill>
                  <pic:spPr bwMode="auto">
                    <a:xfrm>
                      <a:off x="0" y="0"/>
                      <a:ext cx="619125" cy="571500"/>
                    </a:xfrm>
                    <a:prstGeom prst="rect">
                      <a:avLst/>
                    </a:prstGeom>
                  </pic:spPr>
                </pic:pic>
              </a:graphicData>
            </a:graphic>
          </wp:inline>
        </w:drawing>
      </w:r>
    </w:p>
    <w:p>
      <w:pPr>
        <w:spacing w:after="40" w:before="0"/>
        <w:jc w:val="center"/>
      </w:pPr>
      <w:r>
        <w:rPr>
          <w:b/>
          <w:bCs/>
          <w:color w:val="C9A227"/>
          <w:spacing w:val="8"/>
          <w:sz w:val="13"/>
          <w:szCs w:val="13"/>
        </w:rPr>
        <w:t xml:space="preserve">ACCRÉDITATION SANS FRONTIÈRES · ISO 9001 READY</w:t>
      </w:r>
    </w:p>
    <w:p>
      <w:pPr>
        <w:spacing w:after="20" w:before="0"/>
        <w:jc w:val="center"/>
      </w:pPr>
      <w:r>
        <w:rPr>
          <w:b/>
          <w:bCs/>
          <w:color w:val="0E2647"/>
          <w:sz w:val="26"/>
          <w:szCs w:val="26"/>
        </w:rPr>
        <w:t xml:space="preserve">Reagent &amp; Consumable Management</w:t>
      </w:r>
    </w:p>
    <w:p>
      <w:pPr>
        <w:spacing w:after="180" w:before="0"/>
        <w:jc w:val="center"/>
      </w:pPr>
      <w:r>
        <w:rPr>
          <w:i/>
          <w:iCs/>
          <w:color w:val="6B778C"/>
          <w:sz w:val="18"/>
          <w:szCs w:val="18"/>
        </w:rPr>
        <w:t xml:space="preserve">Standard Operating Procedure</w:t>
      </w:r>
    </w:p>
    <w:tbl>
      <w:tblPr>
        <w:tblW w:type="dxa" w:w="8900"/>
        <w:tblBorders>
          <w:top w:val="single" w:color="C9A227" w:sz="4"/>
          <w:left w:val="single" w:color="C9A227" w:sz="4"/>
          <w:bottom w:val="single" w:color="C9A227" w:sz="4"/>
          <w:right w:val="single" w:color="C9A227" w:sz="4"/>
          <w:insideH w:val="single" w:color="auto" w:sz="4"/>
          <w:insideV w:val="single" w:color="auto" w:sz="4"/>
        </w:tblBorders>
      </w:tblPr>
      <w:tblGrid>
        <w:gridCol w:w="8900"/>
      </w:tblGrid>
      <w:tr>
        <w:tc>
          <w:tcPr>
            <w:shd w:fill="FFF8E7" w:val="clear"/>
            <w:tcMar>
              <w:top w:type="dxa" w:w="150"/>
              <w:left w:type="dxa" w:w="200"/>
              <w:bottom w:type="dxa" w:w="150"/>
              <w:right w:type="dxa" w:w="200"/>
            </w:tcMar>
          </w:tcPr>
          <w:p>
            <w:pPr>
              <w:spacing w:after="60"/>
            </w:pPr>
            <w:r>
              <w:rPr>
                <w:b/>
                <w:bCs/>
                <w:color w:val="5C4A0A"/>
                <w:sz w:val="18"/>
                <w:szCs w:val="18"/>
              </w:rPr>
              <w:t xml:space="preserve">Approved by</w:t>
            </w:r>
          </w:p>
          <w:p>
            <w:pPr>
              <w:spacing w:after="20"/>
            </w:pPr>
            <w:r>
              <w:rPr>
                <w:sz w:val="16"/>
                <w:szCs w:val="16"/>
              </w:rPr>
              <w:t xml:space="preserve">Director, [ORGANIZATION NAME]</w:t>
            </w:r>
          </w:p>
          <w:p>
            <w:pPr>
              <w:spacing w:after="20"/>
            </w:pPr>
            <w:r>
              <w:rPr>
                <w:sz w:val="16"/>
                <w:szCs w:val="16"/>
              </w:rPr>
              <w:t xml:space="preserve">[DIRECTOR NAME] ______________________</w:t>
            </w:r>
          </w:p>
          <w:p>
            <w:r>
              <w:rPr>
                <w:sz w:val="16"/>
                <w:szCs w:val="16"/>
              </w:rPr>
              <w:t xml:space="preserve">Date: __________</w:t>
            </w:r>
          </w:p>
        </w:tc>
      </w:tr>
    </w:tbl>
    <w:p>
      <w:pPr>
        <w:spacing w:before="180"/>
      </w:pPr>
    </w:p>
    <w:tbl>
      <w:tblPr>
        <w:tblW w:type="dxa" w:w="8900"/>
        <w:tblBorders>
          <w:top w:val="single" w:color="D8DEE8" w:sz="4"/>
          <w:left w:val="single" w:color="D8DEE8" w:sz="4"/>
          <w:bottom w:val="single" w:color="D8DEE8" w:sz="4"/>
          <w:right w:val="single" w:color="D8DEE8" w:sz="4"/>
          <w:insideH w:val="single" w:color="D8DEE8" w:sz="4"/>
          <w:insideV w:val="single" w:color="D8DEE8" w:sz="4"/>
        </w:tblBorders>
      </w:tblPr>
      <w:tblGrid>
        <w:gridCol w:w="2800"/>
        <w:gridCol w:w="6100"/>
      </w:tblGrid>
      <w:tr>
        <w:tc>
          <w:tcPr>
            <w:tcW w:type="dxa" w:w="2800"/>
            <w:shd w:fill="F2F4F7" w:val="clear"/>
            <w:tcMar>
              <w:top w:type="dxa" w:w="80"/>
              <w:left w:type="dxa" w:w="130"/>
              <w:bottom w:type="dxa" w:w="80"/>
              <w:right w:type="dxa" w:w="90"/>
            </w:tcMar>
            <w:vAlign w:val="center"/>
          </w:tcPr>
          <w:p>
            <w:r>
              <w:rPr>
                <w:b/>
                <w:bCs/>
                <w:color w:val="0E2647"/>
                <w:sz w:val="16"/>
                <w:szCs w:val="16"/>
              </w:rPr>
              <w:t xml:space="preserve">Document Code</w:t>
            </w:r>
          </w:p>
        </w:tc>
        <w:tc>
          <w:tcPr>
            <w:tcW w:type="dxa" w:w="6100"/>
            <w:tcMar>
              <w:top w:type="dxa" w:w="80"/>
              <w:left w:type="dxa" w:w="130"/>
              <w:bottom w:type="dxa" w:w="80"/>
              <w:right w:type="dxa" w:w="90"/>
            </w:tcMar>
            <w:vAlign w:val="center"/>
          </w:tcPr>
          <w:p>
            <w:r>
              <w:rPr>
                <w:color w:val="1A1A1A"/>
                <w:sz w:val="16"/>
                <w:szCs w:val="16"/>
              </w:rPr>
              <w:t xml:space="preserve">SOP-LAB-08-EN</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Title</w:t>
            </w:r>
          </w:p>
        </w:tc>
        <w:tc>
          <w:tcPr>
            <w:tcW w:type="dxa" w:w="6100"/>
            <w:tcMar>
              <w:top w:type="dxa" w:w="80"/>
              <w:left w:type="dxa" w:w="130"/>
              <w:bottom w:type="dxa" w:w="80"/>
              <w:right w:type="dxa" w:w="90"/>
            </w:tcMar>
            <w:vAlign w:val="center"/>
          </w:tcPr>
          <w:p>
            <w:r>
              <w:rPr>
                <w:color w:val="1A1A1A"/>
                <w:sz w:val="16"/>
                <w:szCs w:val="16"/>
              </w:rPr>
              <w:t xml:space="preserve">Reagent &amp; Consumable Management</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Edition</w:t>
            </w:r>
          </w:p>
        </w:tc>
        <w:tc>
          <w:tcPr>
            <w:tcW w:type="dxa" w:w="6100"/>
            <w:tcMar>
              <w:top w:type="dxa" w:w="80"/>
              <w:left w:type="dxa" w:w="130"/>
              <w:bottom w:type="dxa" w:w="80"/>
              <w:right w:type="dxa" w:w="90"/>
            </w:tcMar>
            <w:vAlign w:val="center"/>
          </w:tcPr>
          <w:p>
            <w:r>
              <w:rPr>
                <w:color w:val="1A1A1A"/>
                <w:sz w:val="16"/>
                <w:szCs w:val="16"/>
              </w:rPr>
              <w:t xml:space="preserve">1st Edition</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Copy #</w:t>
            </w:r>
          </w:p>
        </w:tc>
        <w:tc>
          <w:tcPr>
            <w:tcW w:type="dxa" w:w="6100"/>
            <w:tcMar>
              <w:top w:type="dxa" w:w="80"/>
              <w:left w:type="dxa" w:w="130"/>
              <w:bottom w:type="dxa" w:w="80"/>
              <w:right w:type="dxa" w:w="90"/>
            </w:tcMar>
            <w:vAlign w:val="center"/>
          </w:tcPr>
          <w:p>
            <w:r>
              <w:rPr>
                <w:color w:val="1A1A1A"/>
                <w:sz w:val="16"/>
                <w:szCs w:val="16"/>
              </w:rPr>
              <w:t xml:space="preserve">___</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Effective Date</w:t>
            </w:r>
          </w:p>
        </w:tc>
        <w:tc>
          <w:tcPr>
            <w:tcW w:type="dxa" w:w="6100"/>
            <w:tcMar>
              <w:top w:type="dxa" w:w="80"/>
              <w:left w:type="dxa" w:w="130"/>
              <w:bottom w:type="dxa" w:w="80"/>
              <w:right w:type="dxa" w:w="90"/>
            </w:tcMar>
            <w:vAlign w:val="center"/>
          </w:tcPr>
          <w:p>
            <w:r>
              <w:rPr>
                <w:color w:val="1A1A1A"/>
                <w:sz w:val="16"/>
                <w:szCs w:val="16"/>
              </w:rPr>
              <w:t xml:space="preserve">[EFFECTIVE DATE]</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Next Review Date</w:t>
            </w:r>
          </w:p>
        </w:tc>
        <w:tc>
          <w:tcPr>
            <w:tcW w:type="dxa" w:w="6100"/>
            <w:tcMar>
              <w:top w:type="dxa" w:w="80"/>
              <w:left w:type="dxa" w:w="130"/>
              <w:bottom w:type="dxa" w:w="80"/>
              <w:right w:type="dxa" w:w="90"/>
            </w:tcMar>
            <w:vAlign w:val="center"/>
          </w:tcPr>
          <w:p>
            <w:r>
              <w:rPr>
                <w:color w:val="1A1A1A"/>
                <w:sz w:val="16"/>
                <w:szCs w:val="16"/>
              </w:rPr>
              <w:t xml:space="preserve">[NEXT REVIEW DATE]</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Organization</w:t>
            </w:r>
          </w:p>
        </w:tc>
        <w:tc>
          <w:tcPr>
            <w:tcW w:type="dxa" w:w="6100"/>
            <w:tcMar>
              <w:top w:type="dxa" w:w="80"/>
              <w:left w:type="dxa" w:w="130"/>
              <w:bottom w:type="dxa" w:w="80"/>
              <w:right w:type="dxa" w:w="90"/>
            </w:tcMar>
            <w:vAlign w:val="center"/>
          </w:tcPr>
          <w:p>
            <w:r>
              <w:rPr>
                <w:color w:val="1A1A1A"/>
                <w:sz w:val="16"/>
                <w:szCs w:val="16"/>
              </w:rPr>
              <w:t xml:space="preserve">[ORGANIZATION NAME], Georgia</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Language Pair</w:t>
            </w:r>
          </w:p>
        </w:tc>
        <w:tc>
          <w:tcPr>
            <w:tcW w:type="dxa" w:w="6100"/>
            <w:tcMar>
              <w:top w:type="dxa" w:w="80"/>
              <w:left w:type="dxa" w:w="130"/>
              <w:bottom w:type="dxa" w:w="80"/>
              <w:right w:type="dxa" w:w="90"/>
            </w:tcMar>
            <w:vAlign w:val="center"/>
          </w:tcPr>
          <w:p>
            <w:r>
              <w:rPr>
                <w:color w:val="1A1A1A"/>
                <w:sz w:val="16"/>
                <w:szCs w:val="16"/>
              </w:rPr>
              <w:t xml:space="preserve">Full parallel version of SOP-LAB-08-KA — same content, not a summary</w:t>
            </w:r>
          </w:p>
        </w:tc>
      </w:tr>
    </w:tbl>
    <w:p>
      <w:pPr>
        <w:pBdr>
          <w:bottom w:val="single" w:color="D8DEE8" w:sz="6"/>
        </w:pBdr>
        <w:spacing w:after="180" w:before="60"/>
      </w:pPr>
    </w:p>
    <w:p>
      <w:pPr>
        <w:pStyle w:val="Heading1"/>
        <w:spacing w:after="120" w:before="240"/>
      </w:pPr>
      <w:r>
        <w:rPr>
          <w:b/>
          <w:bCs/>
          <w:color w:val="0E2647"/>
          <w:sz w:val="24"/>
          <w:szCs w:val="24"/>
        </w:rPr>
        <w:t xml:space="preserve">Table of Contents</w:t>
      </w:r>
    </w:p>
    <w:p>
      <w:pPr>
        <w:spacing w:after="110" w:line="260"/>
      </w:pPr>
      <w:r>
        <w:rPr>
          <w:b w:val="false"/>
          <w:bCs w:val="false"/>
          <w:i w:val="false"/>
          <w:iCs w:val="false"/>
          <w:sz w:val="20"/>
          <w:szCs w:val="20"/>
        </w:rPr>
        <w:t xml:space="preserve">1. Purpose · 2. Scope · 3. Definitions and Abbreviations</w:t>
      </w:r>
    </w:p>
    <w:p>
      <w:pPr>
        <w:spacing w:after="110" w:line="260"/>
      </w:pPr>
      <w:r>
        <w:rPr>
          <w:b w:val="false"/>
          <w:bCs w:val="false"/>
          <w:i w:val="false"/>
          <w:iCs w:val="false"/>
          <w:sz w:val="20"/>
          <w:szCs w:val="20"/>
        </w:rPr>
        <w:t xml:space="preserve">4. General Provisions · 5. Distribution of Responsibilities</w:t>
      </w:r>
    </w:p>
    <w:p>
      <w:pPr>
        <w:spacing w:after="110" w:line="260"/>
      </w:pPr>
      <w:r>
        <w:rPr>
          <w:b w:val="false"/>
          <w:bCs w:val="false"/>
          <w:i w:val="false"/>
          <w:iCs w:val="false"/>
          <w:sz w:val="20"/>
          <w:szCs w:val="20"/>
        </w:rPr>
        <w:t xml:space="preserve">6. Receipt and Labeling · 7. Expiry Management</w:t>
      </w:r>
    </w:p>
    <w:p>
      <w:pPr>
        <w:spacing w:after="110" w:line="260"/>
      </w:pPr>
      <w:r>
        <w:rPr>
          <w:b w:val="false"/>
          <w:bCs w:val="false"/>
          <w:i w:val="false"/>
          <w:iCs w:val="false"/>
          <w:sz w:val="20"/>
          <w:szCs w:val="20"/>
        </w:rPr>
        <w:t xml:space="preserve">8. Molecular Reagent Special Handling · 9. Special Considerations</w:t>
      </w:r>
    </w:p>
    <w:p>
      <w:pPr>
        <w:spacing w:after="110" w:line="260"/>
      </w:pPr>
      <w:r>
        <w:rPr>
          <w:b w:val="false"/>
          <w:bCs w:val="false"/>
          <w:i w:val="false"/>
          <w:iCs w:val="false"/>
          <w:sz w:val="20"/>
          <w:szCs w:val="20"/>
        </w:rPr>
        <w:t xml:space="preserve">10. Process Effectiveness Indicators (KPI) · 11. Accompanying Documentation</w:t>
      </w:r>
    </w:p>
    <w:p>
      <w:pPr>
        <w:spacing w:after="110" w:line="260"/>
      </w:pPr>
      <w:r>
        <w:rPr>
          <w:b w:val="false"/>
          <w:bCs w:val="false"/>
          <w:i w:val="false"/>
          <w:iCs w:val="false"/>
          <w:sz w:val="20"/>
          <w:szCs w:val="20"/>
        </w:rPr>
        <w:t xml:space="preserve">12. Approval Sheet · References</w:t>
      </w:r>
    </w:p>
    <w:p>
      <w:pPr>
        <w:pStyle w:val="Heading1"/>
        <w:spacing w:after="120" w:before="240"/>
      </w:pPr>
      <w:r>
        <w:rPr>
          <w:b/>
          <w:bCs/>
          <w:color w:val="0E2647"/>
          <w:sz w:val="24"/>
          <w:szCs w:val="24"/>
        </w:rPr>
        <w:t xml:space="preserve">1. Purpose</w:t>
      </w:r>
    </w:p>
    <w:p>
      <w:pPr>
        <w:spacing w:after="110" w:line="260"/>
      </w:pPr>
      <w:r>
        <w:rPr>
          <w:b w:val="false"/>
          <w:bCs w:val="false"/>
          <w:i w:val="false"/>
          <w:iCs w:val="false"/>
          <w:sz w:val="20"/>
          <w:szCs w:val="20"/>
        </w:rPr>
        <w:t xml:space="preserve">To ensure every reagent and consumable used at [ORGANIZATION NAME] is received, labeled, tracked, and used within its valid period, so results reflect genuine analytical performance, not reagent degradation [1–2].</w:t>
      </w:r>
    </w:p>
    <w:p>
      <w:pPr>
        <w:pStyle w:val="Heading1"/>
        <w:spacing w:after="120" w:before="240"/>
      </w:pPr>
      <w:r>
        <w:rPr>
          <w:b/>
          <w:bCs/>
          <w:color w:val="0E2647"/>
          <w:sz w:val="24"/>
          <w:szCs w:val="24"/>
        </w:rPr>
        <w:t xml:space="preserve">2. Scope</w:t>
      </w:r>
    </w:p>
    <w:p>
      <w:pPr>
        <w:spacing w:after="110" w:line="260"/>
      </w:pPr>
      <w:r>
        <w:rPr>
          <w:b w:val="false"/>
          <w:bCs w:val="false"/>
          <w:i w:val="false"/>
          <w:iCs w:val="false"/>
          <w:sz w:val="20"/>
          <w:szCs w:val="20"/>
        </w:rPr>
        <w:t xml:space="preserve">This SOP applies to every reagent, calibrator, control material, and testing consumable used across [ORGANIZATION NAME]'s laboratory, including molecular/PCR reagents with their own special handling requirements (Section 8).</w:t>
      </w:r>
    </w:p>
    <w:p>
      <w:pPr>
        <w:pStyle w:val="Heading1"/>
        <w:spacing w:after="120" w:before="240"/>
      </w:pPr>
      <w:r>
        <w:rPr>
          <w:b/>
          <w:bCs/>
          <w:color w:val="0E2647"/>
          <w:sz w:val="24"/>
          <w:szCs w:val="24"/>
        </w:rPr>
        <w:t xml:space="preserve">3. Definitions and Abbreviations</w:t>
      </w:r>
    </w:p>
    <w:p>
      <w:pPr>
        <w:spacing w:after="70" w:line="245"/>
        <w:ind w:left="260" w:hanging="180"/>
      </w:pPr>
      <w:r>
        <w:rPr>
          <w:sz w:val="19"/>
          <w:szCs w:val="19"/>
        </w:rPr>
        <w:t xml:space="preserve">•  Lot tracking — recording the specific manufacturing lot of every reagent in use, so a problem traced to one lot can be identified and addressed without guessing which items are affected [1, 3]</w:t>
      </w:r>
    </w:p>
    <w:p>
      <w:pPr>
        <w:spacing w:after="70" w:line="245"/>
        <w:ind w:left="260" w:hanging="180"/>
      </w:pPr>
      <w:r>
        <w:rPr>
          <w:sz w:val="19"/>
          <w:szCs w:val="19"/>
        </w:rPr>
        <w:t xml:space="preserve">•  Retesting — a formal, validated process for confirming a reagent remains fit for use beyond a nominal date, distinct from an informal visual check, which is not sufficient evidence of stability [4]</w:t>
      </w:r>
    </w:p>
    <w:p>
      <w:pPr>
        <w:pStyle w:val="Heading1"/>
        <w:spacing w:after="120" w:before="240"/>
      </w:pPr>
      <w:r>
        <w:rPr>
          <w:b/>
          <w:bCs/>
          <w:color w:val="0E2647"/>
          <w:sz w:val="24"/>
          <w:szCs w:val="24"/>
        </w:rPr>
        <w:t xml:space="preserve">4. General Provisions</w:t>
      </w:r>
    </w:p>
    <w:p>
      <w:pPr>
        <w:spacing w:after="110" w:line="260"/>
      </w:pPr>
      <w:r>
        <w:rPr>
          <w:b w:val="false"/>
          <w:bCs w:val="false"/>
          <w:i w:val="false"/>
          <w:iCs w:val="false"/>
          <w:sz w:val="20"/>
          <w:szCs w:val="20"/>
        </w:rPr>
        <w:t xml:space="preserve">A real, documented example: a laboratory that fully digitized reagent lifecycle tracking passed a major inspection with zero reagent-related findings, even when inspectors specifically probed traceability — the team could show, within minutes, exactly how a single vial moved from receipt to disposal [1]. A reagent used past its expiry does not merely risk reduced accuracy — degradation can produce harmful by-products that compromise the reliability of results in ways a visual check cannot detect [4].</w:t>
      </w:r>
    </w:p>
    <w:p>
      <w:pPr>
        <w:pStyle w:val="Heading1"/>
        <w:spacing w:after="120" w:before="240"/>
      </w:pPr>
      <w:r>
        <w:rPr>
          <w:b/>
          <w:bCs/>
          <w:color w:val="0E2647"/>
          <w:sz w:val="24"/>
          <w:szCs w:val="24"/>
        </w:rPr>
        <w:t xml:space="preserve">5. Distribution of Responsibilities</w:t>
      </w:r>
    </w:p>
    <w:tbl>
      <w:tblPr>
        <w:tblW w:type="dxa" w:w="9000"/>
        <w:tblBorders>
          <w:top w:val="single" w:color="D8DEE8" w:sz="4"/>
          <w:left w:val="single" w:color="D8DEE8" w:sz="4"/>
          <w:bottom w:val="single" w:color="D8DEE8" w:sz="4"/>
          <w:right w:val="single" w:color="D8DEE8" w:sz="4"/>
          <w:insideH w:val="single" w:color="D8DEE8" w:sz="4"/>
          <w:insideV w:val="single" w:color="D8DEE8" w:sz="4"/>
        </w:tblBorders>
      </w:tblPr>
      <w:tblGrid>
        <w:gridCol w:w="3600"/>
        <w:gridCol w:w="1350"/>
        <w:gridCol w:w="1350"/>
        <w:gridCol w:w="1350"/>
        <w:gridCol w:w="1350"/>
      </w:tblGrid>
      <w:tr>
        <w:tc>
          <w:tcPr>
            <w:shd w:fill="0E2647" w:val="clear"/>
            <w:tcMar>
              <w:top w:type="dxa" w:w="70"/>
              <w:left w:type="dxa" w:w="80"/>
              <w:bottom w:type="dxa" w:w="70"/>
              <w:right w:type="dxa" w:w="70"/>
            </w:tcMar>
          </w:tcPr>
          <w:p>
            <w:pPr>
              <w:jc w:val="center"/>
            </w:pPr>
            <w:r>
              <w:rPr>
                <w:b/>
                <w:bCs/>
                <w:color w:val="FFFFFF"/>
                <w:sz w:val="13"/>
                <w:szCs w:val="13"/>
              </w:rPr>
              <w:t xml:space="preserve">Task</w:t>
            </w:r>
          </w:p>
        </w:tc>
        <w:tc>
          <w:tcPr>
            <w:shd w:fill="0E2647" w:val="clear"/>
            <w:tcMar>
              <w:top w:type="dxa" w:w="70"/>
              <w:left w:type="dxa" w:w="80"/>
              <w:bottom w:type="dxa" w:w="70"/>
              <w:right w:type="dxa" w:w="70"/>
            </w:tcMar>
          </w:tcPr>
          <w:p>
            <w:pPr>
              <w:jc w:val="center"/>
            </w:pPr>
            <w:r>
              <w:rPr>
                <w:b/>
                <w:bCs/>
                <w:color w:val="FFFFFF"/>
                <w:sz w:val="13"/>
                <w:szCs w:val="13"/>
              </w:rPr>
              <w:t xml:space="preserve">Director</w:t>
            </w:r>
          </w:p>
        </w:tc>
        <w:tc>
          <w:tcPr>
            <w:shd w:fill="0E2647" w:val="clear"/>
            <w:tcMar>
              <w:top w:type="dxa" w:w="70"/>
              <w:left w:type="dxa" w:w="80"/>
              <w:bottom w:type="dxa" w:w="70"/>
              <w:right w:type="dxa" w:w="70"/>
            </w:tcMar>
          </w:tcPr>
          <w:p>
            <w:pPr>
              <w:jc w:val="center"/>
            </w:pPr>
            <w:r>
              <w:rPr>
                <w:b/>
                <w:bCs/>
                <w:color w:val="FFFFFF"/>
                <w:sz w:val="13"/>
                <w:szCs w:val="13"/>
              </w:rPr>
              <w:t xml:space="preserve">Lab Lead</w:t>
            </w:r>
          </w:p>
        </w:tc>
        <w:tc>
          <w:tcPr>
            <w:shd w:fill="0E2647" w:val="clear"/>
            <w:tcMar>
              <w:top w:type="dxa" w:w="70"/>
              <w:left w:type="dxa" w:w="80"/>
              <w:bottom w:type="dxa" w:w="70"/>
              <w:right w:type="dxa" w:w="70"/>
            </w:tcMar>
          </w:tcPr>
          <w:p>
            <w:pPr>
              <w:jc w:val="center"/>
            </w:pPr>
            <w:r>
              <w:rPr>
                <w:b/>
                <w:bCs/>
                <w:color w:val="FFFFFF"/>
                <w:sz w:val="13"/>
                <w:szCs w:val="13"/>
              </w:rPr>
              <w:t xml:space="preserve">Technologist</w:t>
            </w:r>
          </w:p>
        </w:tc>
        <w:tc>
          <w:tcPr>
            <w:shd w:fill="0E2647" w:val="clear"/>
            <w:tcMar>
              <w:top w:type="dxa" w:w="70"/>
              <w:left w:type="dxa" w:w="80"/>
              <w:bottom w:type="dxa" w:w="70"/>
              <w:right w:type="dxa" w:w="70"/>
            </w:tcMar>
          </w:tcPr>
          <w:p>
            <w:pPr>
              <w:jc w:val="center"/>
            </w:pPr>
            <w:r>
              <w:rPr>
                <w:b/>
                <w:bCs/>
                <w:color w:val="FFFFFF"/>
                <w:sz w:val="13"/>
                <w:szCs w:val="13"/>
              </w:rPr>
              <w:t xml:space="preserve">-</w:t>
            </w:r>
          </w:p>
        </w:tc>
      </w:tr>
      <w:tr>
        <w:tc>
          <w:tcPr>
            <w:tcMar>
              <w:top w:type="dxa" w:w="70"/>
              <w:left w:type="dxa" w:w="80"/>
              <w:bottom w:type="dxa" w:w="70"/>
              <w:right w:type="dxa" w:w="70"/>
            </w:tcMar>
            <w:vAlign w:val="center"/>
          </w:tcPr>
          <w:p>
            <w:pPr>
              <w:jc w:val="left"/>
            </w:pPr>
            <w:r>
              <w:rPr>
                <w:b/>
                <w:bCs/>
                <w:sz w:val="14"/>
                <w:szCs w:val="14"/>
              </w:rPr>
              <w:t xml:space="preserve">Approval of this SOP</w:t>
            </w:r>
          </w:p>
        </w:tc>
        <w:tc>
          <w:tcPr>
            <w:tcMar>
              <w:top w:type="dxa" w:w="70"/>
              <w:left w:type="dxa" w:w="80"/>
              <w:bottom w:type="dxa" w:w="70"/>
              <w:right w:type="dxa" w:w="70"/>
            </w:tcMar>
            <w:vAlign w:val="center"/>
          </w:tcPr>
          <w:p>
            <w:pPr>
              <w:jc w:val="center"/>
            </w:pPr>
            <w:r>
              <w:rPr>
                <w:b w:val="false"/>
                <w:bCs w:val="false"/>
                <w:sz w:val="15"/>
                <w:szCs w:val="15"/>
              </w:rPr>
              <w:t xml:space="preserve">Final</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r>
      <w:tr>
        <w:tc>
          <w:tcPr>
            <w:tcMar>
              <w:top w:type="dxa" w:w="70"/>
              <w:left w:type="dxa" w:w="80"/>
              <w:bottom w:type="dxa" w:w="70"/>
              <w:right w:type="dxa" w:w="70"/>
            </w:tcMar>
            <w:vAlign w:val="center"/>
          </w:tcPr>
          <w:p>
            <w:pPr>
              <w:jc w:val="left"/>
            </w:pPr>
            <w:r>
              <w:rPr>
                <w:b/>
                <w:bCs/>
                <w:sz w:val="14"/>
                <w:szCs w:val="14"/>
              </w:rPr>
              <w:t xml:space="preserve">Reagent inventory and reorder point maintenance</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Responsible</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r>
      <w:tr>
        <w:tc>
          <w:tcPr>
            <w:tcMar>
              <w:top w:type="dxa" w:w="70"/>
              <w:left w:type="dxa" w:w="80"/>
              <w:bottom w:type="dxa" w:w="70"/>
              <w:right w:type="dxa" w:w="70"/>
            </w:tcMar>
            <w:vAlign w:val="center"/>
          </w:tcPr>
          <w:p>
            <w:pPr>
              <w:jc w:val="left"/>
            </w:pPr>
            <w:r>
              <w:rPr>
                <w:b/>
                <w:bCs/>
                <w:sz w:val="14"/>
                <w:szCs w:val="14"/>
              </w:rPr>
              <w:t xml:space="preserve">Receipt inspection and labeling</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Responsible</w:t>
            </w:r>
          </w:p>
        </w:tc>
        <w:tc>
          <w:tcPr>
            <w:tcMar>
              <w:top w:type="dxa" w:w="70"/>
              <w:left w:type="dxa" w:w="80"/>
              <w:bottom w:type="dxa" w:w="70"/>
              <w:right w:type="dxa" w:w="70"/>
            </w:tcMar>
            <w:vAlign w:val="center"/>
          </w:tcPr>
          <w:p>
            <w:pPr>
              <w:jc w:val="center"/>
            </w:pPr>
            <w:r>
              <w:rPr>
                <w:b w:val="false"/>
                <w:bCs w:val="false"/>
                <w:sz w:val="15"/>
                <w:szCs w:val="15"/>
              </w:rPr>
              <w:t xml:space="preserve"/>
            </w:r>
          </w:p>
        </w:tc>
      </w:tr>
      <w:tr>
        <w:tc>
          <w:tcPr>
            <w:tcMar>
              <w:top w:type="dxa" w:w="70"/>
              <w:left w:type="dxa" w:w="80"/>
              <w:bottom w:type="dxa" w:w="70"/>
              <w:right w:type="dxa" w:w="70"/>
            </w:tcMar>
            <w:vAlign w:val="center"/>
          </w:tcPr>
          <w:p>
            <w:pPr>
              <w:jc w:val="left"/>
            </w:pPr>
            <w:r>
              <w:rPr>
                <w:b/>
                <w:bCs/>
                <w:sz w:val="14"/>
                <w:szCs w:val="14"/>
              </w:rPr>
              <w:t xml:space="preserve">Daily expiry check before use</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Responsible</w:t>
            </w:r>
          </w:p>
        </w:tc>
        <w:tc>
          <w:tcPr>
            <w:tcMar>
              <w:top w:type="dxa" w:w="70"/>
              <w:left w:type="dxa" w:w="80"/>
              <w:bottom w:type="dxa" w:w="70"/>
              <w:right w:type="dxa" w:w="70"/>
            </w:tcMar>
            <w:vAlign w:val="center"/>
          </w:tcPr>
          <w:p>
            <w:pPr>
              <w:jc w:val="center"/>
            </w:pPr>
            <w:r>
              <w:rPr>
                <w:b w:val="false"/>
                <w:bCs w:val="false"/>
                <w:sz w:val="15"/>
                <w:szCs w:val="15"/>
              </w:rPr>
              <w:t xml:space="preserve"/>
            </w:r>
          </w:p>
        </w:tc>
      </w:tr>
      <w:tr>
        <w:tc>
          <w:tcPr>
            <w:tcMar>
              <w:top w:type="dxa" w:w="70"/>
              <w:left w:type="dxa" w:w="80"/>
              <w:bottom w:type="dxa" w:w="70"/>
              <w:right w:type="dxa" w:w="70"/>
            </w:tcMar>
            <w:vAlign w:val="center"/>
          </w:tcPr>
          <w:p>
            <w:pPr>
              <w:jc w:val="left"/>
            </w:pPr>
            <w:r>
              <w:rPr>
                <w:b/>
                <w:bCs/>
                <w:sz w:val="14"/>
                <w:szCs w:val="14"/>
              </w:rPr>
              <w:t xml:space="preserve">Retesting protocol decisions</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Responsible</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r>
    </w:tbl>
    <w:p>
      <w:pPr>
        <w:pStyle w:val="Heading1"/>
        <w:spacing w:after="120" w:before="240"/>
      </w:pPr>
      <w:r>
        <w:rPr>
          <w:b/>
          <w:bCs/>
          <w:color w:val="0E2647"/>
          <w:sz w:val="24"/>
          <w:szCs w:val="24"/>
        </w:rPr>
        <w:t xml:space="preserve">6. Receipt and Labeling</w:t>
      </w:r>
    </w:p>
    <w:p>
      <w:pPr>
        <w:spacing w:after="70" w:line="245"/>
        <w:ind w:left="260" w:hanging="180"/>
      </w:pPr>
      <w:r>
        <w:rPr>
          <w:sz w:val="19"/>
          <w:szCs w:val="19"/>
        </w:rPr>
        <w:t xml:space="preserve">•  Every incoming reagent is inspected on receipt, with the date of receipt added to the label alongside the manufacturer's lot number and expiry date — receipt date enables scheduling retesting or replacement independent of the printed expiry [4]</w:t>
      </w:r>
    </w:p>
    <w:p>
      <w:pPr>
        <w:spacing w:after="70" w:line="245"/>
        <w:ind w:left="260" w:hanging="180"/>
      </w:pPr>
      <w:r>
        <w:rPr>
          <w:sz w:val="19"/>
          <w:szCs w:val="19"/>
        </w:rPr>
        <w:t xml:space="preserve">•  Labels state name, concentration, expiration date, and any applicable hazard warning [5]</w:t>
      </w:r>
    </w:p>
    <w:p>
      <w:pPr>
        <w:spacing w:after="70" w:line="245"/>
        <w:ind w:left="260" w:hanging="180"/>
      </w:pPr>
      <w:r>
        <w:rPr>
          <w:sz w:val="19"/>
          <w:szCs w:val="19"/>
        </w:rPr>
        <w:t xml:space="preserve">•  Minimum stock levels (reorder points) are established for critical reagents to prevent testing disruption from an unnoticed stockout [5]</w:t>
      </w:r>
    </w:p>
    <w:p>
      <w:pPr>
        <w:pStyle w:val="Heading1"/>
        <w:spacing w:after="120" w:before="240"/>
      </w:pPr>
      <w:r>
        <w:rPr>
          <w:b/>
          <w:bCs/>
          <w:color w:val="0E2647"/>
          <w:sz w:val="24"/>
          <w:szCs w:val="24"/>
        </w:rPr>
        <w:t xml:space="preserve">7. Expiry Management</w:t>
      </w:r>
    </w:p>
    <w:p>
      <w:pPr>
        <w:pBdr>
          <w:left w:val="single" w:color="C0392B" w:sz="16" w:space="10"/>
        </w:pBdr>
        <w:shd w:fill="FDECEC" w:val="clear"/>
        <w:spacing w:after="160" w:before="110"/>
      </w:pPr>
      <w:r>
        <w:rPr>
          <w:b/>
          <w:bCs/>
          <w:i/>
          <w:iCs/>
          <w:color w:val="7B241C"/>
          <w:sz w:val="18"/>
          <w:szCs w:val="18"/>
        </w:rPr>
        <w:t xml:space="preserve">A reagent's stability cannot be judged by appearance — the manufacturer's expiration date is adhered to regardless of how the reagent looks, and any extension beyond it requires a formal, validated retesting protocol, not a visual judgment call [4].</w:t>
      </w:r>
    </w:p>
    <w:p>
      <w:pPr>
        <w:spacing w:after="90" w:line="255"/>
        <w:ind w:left="340" w:hanging="340"/>
      </w:pPr>
      <w:r>
        <w:rPr>
          <w:b/>
          <w:bCs/>
          <w:color w:val="0E2647"/>
          <w:sz w:val="19"/>
          <w:szCs w:val="19"/>
        </w:rPr>
        <w:t xml:space="preserve">Step 1.  </w:t>
      </w:r>
      <w:r>
        <w:rPr>
          <w:sz w:val="19"/>
          <w:szCs w:val="19"/>
        </w:rPr>
        <w:t xml:space="preserve">Check expiry before every use, not only at receipt</w:t>
      </w:r>
    </w:p>
    <w:p>
      <w:pPr>
        <w:spacing w:after="90" w:line="255"/>
        <w:ind w:left="340" w:hanging="340"/>
      </w:pPr>
      <w:r>
        <w:rPr>
          <w:b/>
          <w:bCs/>
          <w:color w:val="0E2647"/>
          <w:sz w:val="19"/>
          <w:szCs w:val="19"/>
        </w:rPr>
        <w:t xml:space="preserve">Step 2.  </w:t>
      </w:r>
      <w:r>
        <w:rPr>
          <w:sz w:val="19"/>
          <w:szCs w:val="19"/>
        </w:rPr>
        <w:t xml:space="preserve">Where retesting is used to extend a reagent's use beyond its nominal date, the retesting protocol is based on the reagent's original shelf life, storage conditions, and role in the analytical procedure, using validated methods to check critical quality attributes [4]</w:t>
      </w:r>
    </w:p>
    <w:p>
      <w:pPr>
        <w:spacing w:after="90" w:line="255"/>
        <w:ind w:left="340" w:hanging="340"/>
      </w:pPr>
      <w:r>
        <w:rPr>
          <w:b/>
          <w:bCs/>
          <w:color w:val="0E2647"/>
          <w:sz w:val="19"/>
          <w:szCs w:val="19"/>
        </w:rPr>
        <w:t xml:space="preserve">Step 3.  </w:t>
      </w:r>
      <w:r>
        <w:rPr>
          <w:sz w:val="19"/>
          <w:szCs w:val="19"/>
        </w:rPr>
        <w:t xml:space="preserve">Document every retesting decision — not treated as a one-off judgment made differently by whichever technologist is on shift</w:t>
      </w:r>
    </w:p>
    <w:p>
      <w:pPr>
        <w:pStyle w:val="Heading1"/>
        <w:spacing w:after="120" w:before="240"/>
      </w:pPr>
      <w:r>
        <w:rPr>
          <w:b/>
          <w:bCs/>
          <w:color w:val="0E2647"/>
          <w:sz w:val="24"/>
          <w:szCs w:val="24"/>
        </w:rPr>
        <w:t xml:space="preserve">8. Molecular Reagent Special Handling</w:t>
      </w:r>
    </w:p>
    <w:p>
      <w:pPr>
        <w:spacing w:after="110" w:line="260"/>
      </w:pPr>
      <w:r>
        <w:rPr>
          <w:b w:val="false"/>
          <w:bCs w:val="false"/>
          <w:i w:val="false"/>
          <w:iCs w:val="false"/>
          <w:sz w:val="20"/>
          <w:szCs w:val="20"/>
        </w:rPr>
        <w:t xml:space="preserve">Molecular/PCR reagents carry real, additional handling requirements beyond standard reagent management.</w:t>
      </w:r>
    </w:p>
    <w:p>
      <w:pPr>
        <w:spacing w:after="70" w:line="245"/>
        <w:ind w:left="260" w:hanging="180"/>
      </w:pPr>
      <w:r>
        <w:rPr>
          <w:sz w:val="19"/>
          <w:szCs w:val="19"/>
        </w:rPr>
        <w:t xml:space="preserve">•  Freeze/thaw cycles are counted and tracked for reagents sensitive to repeated temperature cycling — this is a real, documented integrity factor distinct from a simple expiry date [3]</w:t>
      </w:r>
    </w:p>
    <w:p>
      <w:pPr>
        <w:spacing w:after="70" w:line="245"/>
        <w:ind w:left="260" w:hanging="180"/>
      </w:pPr>
      <w:r>
        <w:rPr>
          <w:sz w:val="19"/>
          <w:szCs w:val="19"/>
        </w:rPr>
        <w:t xml:space="preserve">•  Storage location is tracked with genuine specificity (freezer, shelf, box position), not merely “in the freezer,” particularly where reagents are aliquoted into multiple smaller volumes [3]</w:t>
      </w:r>
    </w:p>
    <w:p>
      <w:pPr>
        <w:pStyle w:val="Heading1"/>
        <w:spacing w:after="120" w:before="240"/>
      </w:pPr>
      <w:r>
        <w:rPr>
          <w:b/>
          <w:bCs/>
          <w:color w:val="0E2647"/>
          <w:sz w:val="24"/>
          <w:szCs w:val="24"/>
        </w:rPr>
        <w:t xml:space="preserve">9. Special Considerations</w:t>
      </w:r>
    </w:p>
    <w:p>
      <w:pPr>
        <w:spacing w:after="70" w:line="245"/>
        <w:ind w:left="260" w:hanging="180"/>
      </w:pPr>
      <w:r>
        <w:rPr>
          <w:sz w:val="19"/>
          <w:szCs w:val="19"/>
        </w:rPr>
        <w:t xml:space="preserve">•  A problematic lot identified through unexpected QC or patient results (SOP-LAB-02) is traced through lot tracking to every affected item still in use, not assumed to be isolated to the specific test that raised the concern</w:t>
      </w:r>
    </w:p>
    <w:p>
      <w:pPr>
        <w:spacing w:after="70" w:line="245"/>
        <w:ind w:left="260" w:hanging="180"/>
      </w:pPr>
      <w:r>
        <w:rPr>
          <w:sz w:val="19"/>
          <w:szCs w:val="19"/>
        </w:rPr>
        <w:t xml:space="preserve">•  Consistent labeling supports genuine lot-level traceability during any audit or investigation, not merely day-to-day convenience</w:t>
      </w:r>
    </w:p>
    <w:p>
      <w:pPr>
        <w:pStyle w:val="Heading1"/>
        <w:spacing w:after="120" w:before="240"/>
      </w:pPr>
      <w:r>
        <w:rPr>
          <w:b/>
          <w:bCs/>
          <w:color w:val="0E2647"/>
          <w:sz w:val="24"/>
          <w:szCs w:val="24"/>
        </w:rPr>
        <w:t xml:space="preserve">10. Process Effectiveness Indicators (KPI)</w:t>
      </w:r>
    </w:p>
    <w:p>
      <w:pPr>
        <w:spacing w:after="70" w:line="245"/>
        <w:ind w:left="260" w:hanging="180"/>
      </w:pPr>
      <w:r>
        <w:rPr>
          <w:sz w:val="19"/>
          <w:szCs w:val="19"/>
        </w:rPr>
        <w:t xml:space="preserve">•  Expired reagent found in active use (target: zero)</w:t>
      </w:r>
    </w:p>
    <w:p>
      <w:pPr>
        <w:spacing w:after="70" w:line="245"/>
        <w:ind w:left="260" w:hanging="180"/>
      </w:pPr>
      <w:r>
        <w:rPr>
          <w:sz w:val="19"/>
          <w:szCs w:val="19"/>
        </w:rPr>
        <w:t xml:space="preserve">•  Stockout incidents for critical reagents</w:t>
      </w:r>
    </w:p>
    <w:p>
      <w:pPr>
        <w:spacing w:after="70" w:line="245"/>
        <w:ind w:left="260" w:hanging="180"/>
      </w:pPr>
      <w:r>
        <w:rPr>
          <w:sz w:val="19"/>
          <w:szCs w:val="19"/>
        </w:rPr>
        <w:t xml:space="preserve">•  Retesting decisions with complete, validated documentation</w:t>
      </w:r>
    </w:p>
    <w:p>
      <w:pPr>
        <w:pStyle w:val="Heading1"/>
        <w:spacing w:after="120" w:before="240"/>
      </w:pPr>
      <w:r>
        <w:rPr>
          <w:b/>
          <w:bCs/>
          <w:color w:val="0E2647"/>
          <w:sz w:val="24"/>
          <w:szCs w:val="24"/>
        </w:rPr>
        <w:t xml:space="preserve">11. Accompanying Documentation</w:t>
      </w:r>
    </w:p>
    <w:tbl>
      <w:tblPr>
        <w:tblW w:type="dxa" w:w="6000"/>
        <w:tblBorders>
          <w:top w:val="single" w:color="D8DEE8" w:sz="4"/>
          <w:left w:val="single" w:color="D8DEE8" w:sz="4"/>
          <w:bottom w:val="single" w:color="D8DEE8" w:sz="4"/>
          <w:right w:val="single" w:color="D8DEE8" w:sz="4"/>
          <w:insideH w:val="single" w:color="D8DEE8" w:sz="4"/>
          <w:insideV w:val="single" w:color="D8DEE8" w:sz="4"/>
        </w:tblBorders>
      </w:tblPr>
      <w:tblGrid>
        <w:gridCol w:w="1800"/>
        <w:gridCol w:w="4200"/>
      </w:tblGrid>
      <w:tr>
        <w:tc>
          <w:tcPr>
            <w:tcMar>
              <w:top w:type="dxa" w:w="70"/>
              <w:left w:type="dxa" w:w="100"/>
              <w:bottom w:type="dxa" w:w="70"/>
              <w:right w:type="dxa" w:w="90"/>
            </w:tcMar>
            <w:vAlign w:val="center"/>
          </w:tcPr>
          <w:p>
            <w:r>
              <w:rPr>
                <w:b/>
                <w:bCs/>
                <w:sz w:val="15"/>
                <w:szCs w:val="15"/>
              </w:rPr>
              <w:t xml:space="preserve">Code</w:t>
            </w:r>
          </w:p>
        </w:tc>
        <w:tc>
          <w:tcPr>
            <w:tcMar>
              <w:top w:type="dxa" w:w="70"/>
              <w:left w:type="dxa" w:w="100"/>
              <w:bottom w:type="dxa" w:w="70"/>
              <w:right w:type="dxa" w:w="90"/>
            </w:tcMar>
            <w:vAlign w:val="center"/>
          </w:tcPr>
          <w:p>
            <w:r>
              <w:rPr>
                <w:b w:val="false"/>
                <w:bCs w:val="false"/>
                <w:sz w:val="15"/>
                <w:szCs w:val="15"/>
              </w:rPr>
              <w:t xml:space="preserve">Title</w:t>
            </w:r>
          </w:p>
        </w:tc>
      </w:tr>
      <w:tr>
        <w:tc>
          <w:tcPr>
            <w:tcMar>
              <w:top w:type="dxa" w:w="70"/>
              <w:left w:type="dxa" w:w="100"/>
              <w:bottom w:type="dxa" w:w="70"/>
              <w:right w:type="dxa" w:w="90"/>
            </w:tcMar>
            <w:vAlign w:val="center"/>
          </w:tcPr>
          <w:p>
            <w:r>
              <w:rPr>
                <w:b/>
                <w:bCs/>
                <w:sz w:val="15"/>
                <w:szCs w:val="15"/>
              </w:rPr>
              <w:t xml:space="preserve">SOP-LAB-02</w:t>
            </w:r>
          </w:p>
        </w:tc>
        <w:tc>
          <w:tcPr>
            <w:tcMar>
              <w:top w:type="dxa" w:w="70"/>
              <w:left w:type="dxa" w:w="100"/>
              <w:bottom w:type="dxa" w:w="70"/>
              <w:right w:type="dxa" w:w="90"/>
            </w:tcMar>
            <w:vAlign w:val="center"/>
          </w:tcPr>
          <w:p>
            <w:r>
              <w:rPr>
                <w:b w:val="false"/>
                <w:bCs w:val="false"/>
                <w:sz w:val="15"/>
                <w:szCs w:val="15"/>
              </w:rPr>
              <w:t xml:space="preserve">Laboratory Internal QC</w:t>
            </w:r>
          </w:p>
        </w:tc>
      </w:tr>
      <w:tr>
        <w:tc>
          <w:tcPr>
            <w:tcMar>
              <w:top w:type="dxa" w:w="70"/>
              <w:left w:type="dxa" w:w="100"/>
              <w:bottom w:type="dxa" w:w="70"/>
              <w:right w:type="dxa" w:w="90"/>
            </w:tcMar>
            <w:vAlign w:val="center"/>
          </w:tcPr>
          <w:p>
            <w:r>
              <w:rPr>
                <w:b/>
                <w:bCs/>
                <w:sz w:val="15"/>
                <w:szCs w:val="15"/>
              </w:rPr>
              <w:t xml:space="preserve">CC-02</w:t>
            </w:r>
          </w:p>
        </w:tc>
        <w:tc>
          <w:tcPr>
            <w:tcMar>
              <w:top w:type="dxa" w:w="70"/>
              <w:left w:type="dxa" w:w="100"/>
              <w:bottom w:type="dxa" w:w="70"/>
              <w:right w:type="dxa" w:w="90"/>
            </w:tcMar>
            <w:vAlign w:val="center"/>
          </w:tcPr>
          <w:p>
            <w:r>
              <w:rPr>
                <w:b w:val="false"/>
                <w:bCs w:val="false"/>
                <w:sz w:val="15"/>
                <w:szCs w:val="15"/>
              </w:rPr>
              <w:t xml:space="preserve">Supplier Evaluation</w:t>
            </w:r>
          </w:p>
        </w:tc>
      </w:tr>
    </w:tbl>
    <w:p>
      <w:pPr>
        <w:pStyle w:val="Heading1"/>
        <w:spacing w:after="120" w:before="240"/>
      </w:pPr>
      <w:r>
        <w:rPr>
          <w:b/>
          <w:bCs/>
          <w:color w:val="0E2647"/>
          <w:sz w:val="24"/>
          <w:szCs w:val="24"/>
        </w:rPr>
        <w:t xml:space="preserve">12. Approval Sheet</w:t>
      </w:r>
    </w:p>
    <w:tbl>
      <w:tblPr>
        <w:tblW w:type="dxa" w:w="9000"/>
        <w:tblBorders>
          <w:top w:val="single" w:color="D8DEE8" w:sz="4"/>
          <w:left w:val="single" w:color="D8DEE8" w:sz="4"/>
          <w:bottom w:val="single" w:color="D8DEE8" w:sz="4"/>
          <w:right w:val="single" w:color="D8DEE8" w:sz="4"/>
          <w:insideH w:val="single" w:color="D8DEE8" w:sz="4"/>
          <w:insideV w:val="single" w:color="D8DEE8" w:sz="4"/>
        </w:tblBorders>
      </w:tblPr>
      <w:tblGrid>
        <w:gridCol w:w="3000"/>
        <w:gridCol w:w="3000"/>
        <w:gridCol w:w="3000"/>
      </w:tblGrid>
      <w:tr>
        <w:tc>
          <w:tcPr>
            <w:tcMar>
              <w:top w:type="dxa" w:w="70"/>
              <w:left w:type="dxa" w:w="100"/>
              <w:bottom w:type="dxa" w:w="70"/>
              <w:right w:type="dxa" w:w="90"/>
            </w:tcMar>
            <w:vAlign w:val="center"/>
          </w:tcPr>
          <w:p>
            <w:r>
              <w:rPr>
                <w:b/>
                <w:bCs/>
                <w:sz w:val="15"/>
                <w:szCs w:val="15"/>
              </w:rPr>
              <w:t xml:space="preserve">Role</w:t>
            </w:r>
          </w:p>
        </w:tc>
        <w:tc>
          <w:tcPr>
            <w:tcMar>
              <w:top w:type="dxa" w:w="70"/>
              <w:left w:type="dxa" w:w="100"/>
              <w:bottom w:type="dxa" w:w="70"/>
              <w:right w:type="dxa" w:w="90"/>
            </w:tcMar>
            <w:vAlign w:val="center"/>
          </w:tcPr>
          <w:p>
            <w:r>
              <w:rPr>
                <w:b w:val="false"/>
                <w:bCs w:val="false"/>
                <w:sz w:val="15"/>
                <w:szCs w:val="15"/>
              </w:rPr>
              <w:t xml:space="preserve">Date</w:t>
            </w:r>
          </w:p>
        </w:tc>
        <w:tc>
          <w:tcPr>
            <w:tcMar>
              <w:top w:type="dxa" w:w="70"/>
              <w:left w:type="dxa" w:w="100"/>
              <w:bottom w:type="dxa" w:w="70"/>
              <w:right w:type="dxa" w:w="90"/>
            </w:tcMar>
            <w:vAlign w:val="center"/>
          </w:tcPr>
          <w:p>
            <w:r>
              <w:rPr>
                <w:b w:val="false"/>
                <w:bCs w:val="false"/>
                <w:sz w:val="15"/>
                <w:szCs w:val="15"/>
              </w:rPr>
              <w:t xml:space="preserve">Signature</w:t>
            </w:r>
          </w:p>
        </w:tc>
      </w:tr>
      <w:tr>
        <w:tc>
          <w:tcPr>
            <w:tcMar>
              <w:top w:type="dxa" w:w="70"/>
              <w:left w:type="dxa" w:w="100"/>
              <w:bottom w:type="dxa" w:w="70"/>
              <w:right w:type="dxa" w:w="90"/>
            </w:tcMar>
            <w:vAlign w:val="center"/>
          </w:tcPr>
          <w:p>
            <w:r>
              <w:rPr>
                <w:b/>
                <w:bCs/>
                <w:sz w:val="15"/>
                <w:szCs w:val="15"/>
              </w:rPr>
              <w:t xml:space="preserve">Prepared by: [LAB LEAD NAME]</w:t>
            </w:r>
          </w:p>
        </w:tc>
        <w:tc>
          <w:tcPr>
            <w:tcMar>
              <w:top w:type="dxa" w:w="70"/>
              <w:left w:type="dxa" w:w="100"/>
              <w:bottom w:type="dxa" w:w="70"/>
              <w:right w:type="dxa" w:w="90"/>
            </w:tcMar>
            <w:vAlign w:val="center"/>
          </w:tcPr>
          <w:p>
            <w:r>
              <w:rPr>
                <w:b w:val="false"/>
                <w:bCs w:val="false"/>
                <w:sz w:val="15"/>
                <w:szCs w:val="15"/>
              </w:rPr>
              <w:t xml:space="preserve">___________</w:t>
            </w:r>
          </w:p>
        </w:tc>
        <w:tc>
          <w:tcPr>
            <w:tcMar>
              <w:top w:type="dxa" w:w="70"/>
              <w:left w:type="dxa" w:w="100"/>
              <w:bottom w:type="dxa" w:w="70"/>
              <w:right w:type="dxa" w:w="90"/>
            </w:tcMar>
            <w:vAlign w:val="center"/>
          </w:tcPr>
          <w:p>
            <w:r>
              <w:rPr>
                <w:b w:val="false"/>
                <w:bCs w:val="false"/>
                <w:sz w:val="15"/>
                <w:szCs w:val="15"/>
              </w:rPr>
              <w:t xml:space="preserve">___________</w:t>
            </w:r>
          </w:p>
        </w:tc>
      </w:tr>
      <w:tr>
        <w:tc>
          <w:tcPr>
            <w:tcMar>
              <w:top w:type="dxa" w:w="70"/>
              <w:left w:type="dxa" w:w="100"/>
              <w:bottom w:type="dxa" w:w="70"/>
              <w:right w:type="dxa" w:w="90"/>
            </w:tcMar>
            <w:vAlign w:val="center"/>
          </w:tcPr>
          <w:p>
            <w:r>
              <w:rPr>
                <w:b/>
                <w:bCs/>
                <w:sz w:val="15"/>
                <w:szCs w:val="15"/>
              </w:rPr>
              <w:t xml:space="preserve">Agreed by: [QUALITY MANAGER NAME]</w:t>
            </w:r>
          </w:p>
        </w:tc>
        <w:tc>
          <w:tcPr>
            <w:tcMar>
              <w:top w:type="dxa" w:w="70"/>
              <w:left w:type="dxa" w:w="100"/>
              <w:bottom w:type="dxa" w:w="70"/>
              <w:right w:type="dxa" w:w="90"/>
            </w:tcMar>
            <w:vAlign w:val="center"/>
          </w:tcPr>
          <w:p>
            <w:r>
              <w:rPr>
                <w:b w:val="false"/>
                <w:bCs w:val="false"/>
                <w:sz w:val="15"/>
                <w:szCs w:val="15"/>
              </w:rPr>
              <w:t xml:space="preserve">___________</w:t>
            </w:r>
          </w:p>
        </w:tc>
        <w:tc>
          <w:tcPr>
            <w:tcMar>
              <w:top w:type="dxa" w:w="70"/>
              <w:left w:type="dxa" w:w="100"/>
              <w:bottom w:type="dxa" w:w="70"/>
              <w:right w:type="dxa" w:w="90"/>
            </w:tcMar>
            <w:vAlign w:val="center"/>
          </w:tcPr>
          <w:p>
            <w:r>
              <w:rPr>
                <w:b w:val="false"/>
                <w:bCs w:val="false"/>
                <w:sz w:val="15"/>
                <w:szCs w:val="15"/>
              </w:rPr>
              <w:t xml:space="preserve">___________</w:t>
            </w:r>
          </w:p>
        </w:tc>
      </w:tr>
    </w:tbl>
    <w:p>
      <w:pPr>
        <w:pBdr>
          <w:bottom w:val="single" w:color="D8DEE8" w:sz="6"/>
        </w:pBdr>
        <w:spacing w:after="180" w:before="60"/>
      </w:pPr>
    </w:p>
    <w:p>
      <w:pPr>
        <w:spacing w:after="80" w:before="80"/>
      </w:pPr>
      <w:r>
        <w:rPr>
          <w:b/>
          <w:bCs/>
          <w:color w:val="0E2647"/>
          <w:sz w:val="19"/>
          <w:szCs w:val="19"/>
        </w:rPr>
        <w:t xml:space="preserve">References</w:t>
      </w:r>
    </w:p>
    <w:p>
      <w:pPr>
        <w:spacing w:after="90" w:line="230"/>
        <w:ind w:left="320" w:hanging="320"/>
      </w:pPr>
      <w:r>
        <w:rPr>
          <w:b/>
          <w:bCs/>
          <w:color w:val="0E2647"/>
          <w:sz w:val="15"/>
          <w:szCs w:val="15"/>
        </w:rPr>
        <w:t xml:space="preserve">[1] </w:t>
      </w:r>
      <w:r>
        <w:rPr>
          <w:sz w:val="15"/>
          <w:szCs w:val="15"/>
        </w:rPr>
        <w:t xml:space="preserve">LabVantage. Redefine Reagent Lifecycle Management with Integrated LIMS and ELN — zero-finding inspection example. 2026.</w:t>
      </w:r>
    </w:p>
    <w:p>
      <w:pPr>
        <w:spacing w:after="90" w:line="230"/>
        <w:ind w:left="320" w:hanging="320"/>
      </w:pPr>
      <w:r>
        <w:rPr>
          <w:b/>
          <w:bCs/>
          <w:color w:val="0E2647"/>
          <w:sz w:val="15"/>
          <w:szCs w:val="15"/>
        </w:rPr>
        <w:t xml:space="preserve">[2] </w:t>
      </w:r>
      <w:r>
        <w:rPr>
          <w:sz w:val="15"/>
          <w:szCs w:val="15"/>
        </w:rPr>
        <w:t xml:space="preserve">LabKey. LIMS Inventory Management — lot and expiry tracking.</w:t>
      </w:r>
    </w:p>
    <w:p>
      <w:pPr>
        <w:spacing w:after="90" w:line="230"/>
        <w:ind w:left="320" w:hanging="320"/>
      </w:pPr>
      <w:r>
        <w:rPr>
          <w:b/>
          <w:bCs/>
          <w:color w:val="0E2647"/>
          <w:sz w:val="15"/>
          <w:szCs w:val="15"/>
        </w:rPr>
        <w:t xml:space="preserve">[3] </w:t>
      </w:r>
      <w:r>
        <w:rPr>
          <w:sz w:val="15"/>
          <w:szCs w:val="15"/>
        </w:rPr>
        <w:t xml:space="preserve">Third Wave Analytics. Key Features for LIMS Inventory Management — freeze/thaw cycle tracking for molecular reagents. 2024.</w:t>
      </w:r>
    </w:p>
    <w:p>
      <w:pPr>
        <w:spacing w:after="90" w:line="230"/>
        <w:ind w:left="320" w:hanging="320"/>
      </w:pPr>
      <w:r>
        <w:rPr>
          <w:b/>
          <w:bCs/>
          <w:color w:val="0E2647"/>
          <w:sz w:val="15"/>
          <w:szCs w:val="15"/>
        </w:rPr>
        <w:t xml:space="preserve">[4] </w:t>
      </w:r>
      <w:r>
        <w:rPr>
          <w:sz w:val="15"/>
          <w:szCs w:val="15"/>
        </w:rPr>
        <w:t xml:space="preserve">GMP Insiders. Expiry Dates For Commercial And In-House Prepared Reagents In QC Labs — receipt-date labeling, retesting protocol, degradation risk. 2025.</w:t>
      </w:r>
    </w:p>
    <w:p>
      <w:pPr>
        <w:spacing w:after="90" w:line="230"/>
        <w:ind w:left="320" w:hanging="320"/>
      </w:pPr>
      <w:r>
        <w:rPr>
          <w:b/>
          <w:bCs/>
          <w:color w:val="0E2647"/>
          <w:sz w:val="15"/>
          <w:szCs w:val="15"/>
        </w:rPr>
        <w:t xml:space="preserve">[5] </w:t>
      </w:r>
      <w:r>
        <w:rPr>
          <w:sz w:val="15"/>
          <w:szCs w:val="15"/>
        </w:rPr>
        <w:t xml:space="preserve">Fishbowl. Laboratory Inventory Management: 8 Ways to Streamline — labeling standard, reorder points, lot traceability.</w:t>
      </w:r>
    </w:p>
    <w:sectPr>
      <w:headerReference w:type="default" r:id="rId7"/>
      <w:footerReference w:type="default" r:id="rId8"/>
      <w:pgSz w:w="11906" w:h="16838" w:orient="portrait"/>
      <w:pgMar w:top="900" w:right="1000" w:bottom="900" w:left="100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D8DEE8" w:sz="4"/>
      </w:pBdr>
      <w:tabs>
        <w:tab w:val="right" w:pos="9026"/>
      </w:tabs>
      <w:spacing w:before="60"/>
    </w:pPr>
    <w:r>
      <w:rPr>
        <w:color w:val="6B778C"/>
        <w:sz w:val="12"/>
        <w:szCs w:val="12"/>
      </w:rPr>
      <w:t xml:space="preserve">Prepared by: [LAB LEAD NAME] · Approved by: [DIRECTOR NAME]</w:t>
    </w:r>
    <w:r>
      <w:rPr>
        <w:sz w:val="12"/>
        <w:szCs w:val="12"/>
      </w:rPr>
      <w:t xml:space="preserve">	</w:t>
    </w:r>
    <w:r>
      <w:rPr>
        <w:color w:val="6B778C"/>
        <w:sz w:val="12"/>
        <w:szCs w:val="12"/>
      </w:rPr>
      <w:t xml:space="preserve">Effective: [EFFECTIVE DATE] · Page </w:t>
    </w:r>
    <w:r>
      <w:rPr>
        <w:color w:val="6B778C"/>
        <w:sz w:val="12"/>
        <w:szCs w:val="12"/>
      </w:rPr>
      <w:fldChar w:fldCharType="begin"/>
      <w:instrText xml:space="preserve">PAGE</w:instrText>
      <w:fldChar w:fldCharType="separate"/>
      <w:fldChar w:fldCharType="end"/>
    </w:r>
    <w:r>
      <w:rPr>
        <w:color w:val="6B778C"/>
        <w:sz w:val="12"/>
        <w:szCs w:val="12"/>
      </w:rPr>
      <w:t xml:space="preserve"> of </w:t>
    </w:r>
    <w:r>
      <w:rPr>
        <w:color w:val="6B778C"/>
        <w:sz w:val="12"/>
        <w:szCs w:val="12"/>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tbl>
    <w:tblPr>
      <w:tblW w:type="dxa" w:w="9350"/>
      <w:tblBorders>
        <w:top w:val="none" w:color="FFFFFF" w:sz="0"/>
        <w:left w:val="none" w:color="FFFFFF" w:sz="0"/>
        <w:bottom w:val="single" w:color="D8DEE8" w:sz="4"/>
        <w:right w:val="none" w:color="FFFFFF" w:sz="0"/>
        <w:insideH w:val="none" w:color="FFFFFF" w:sz="0"/>
        <w:insideV w:val="none" w:color="FFFFFF" w:sz="0"/>
      </w:tblBorders>
    </w:tblPr>
    <w:tblGrid>
      <w:gridCol w:w="900"/>
      <w:gridCol w:w="4900"/>
      <w:gridCol w:w="3550"/>
    </w:tblGrid>
    <w:tr>
      <w:tc>
        <w:tcPr>
          <w:tcW w:type="dxa" w:w="900"/>
          <w:tcMar>
            <w:top w:type="dxa" w:w="40"/>
            <w:left w:type="dxa" w:w="0"/>
            <w:bottom w:type="dxa" w:w="40"/>
            <w:right w:type="dxa" w:w="60"/>
          </w:tcMar>
          <w:vAlign w:val="center"/>
        </w:tcPr>
        <w:p>
          <w:r>
            <w:drawing>
              <wp:inline distT="0" distB="0" distL="0" distR="0">
                <wp:extent cx="304800" cy="28575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0" cstate="none"/>
                        <a:srcRect/>
                        <a:stretch>
                          <a:fillRect/>
                        </a:stretch>
                      </pic:blipFill>
                      <pic:spPr bwMode="auto">
                        <a:xfrm>
                          <a:off x="0" y="0"/>
                          <a:ext cx="304800" cy="285750"/>
                        </a:xfrm>
                        <a:prstGeom prst="rect">
                          <a:avLst/>
                        </a:prstGeom>
                      </pic:spPr>
                    </pic:pic>
                  </a:graphicData>
                </a:graphic>
              </wp:inline>
            </w:drawing>
          </w:r>
        </w:p>
      </w:tc>
      <w:tc>
        <w:tcPr>
          <w:tcW w:type="dxa" w:w="4900"/>
          <w:tcMar>
            <w:top w:type="dxa" w:w="40"/>
            <w:left w:type="dxa" w:w="0"/>
            <w:bottom w:type="dxa" w:w="40"/>
            <w:right w:type="dxa" w:w="60"/>
          </w:tcMar>
          <w:vAlign w:val="center"/>
        </w:tcPr>
        <w:p>
          <w:r>
            <w:rPr>
              <w:b/>
              <w:bCs/>
              <w:color w:val="0E2647"/>
              <w:sz w:val="13"/>
              <w:szCs w:val="13"/>
            </w:rPr>
            <w:t xml:space="preserve">[ORGANIZATION NAME]</w:t>
          </w:r>
          <w:r>
            <w:rPr>
              <w:color w:val="6B778C"/>
              <w:sz w:val="11"/>
              <w:szCs w:val="11"/>
            </w:rPr>
            <w:t xml:space="preserve">  ·  SOP-LAB-08-EN · Reagent Management</w:t>
          </w:r>
        </w:p>
      </w:tc>
      <w:tc>
        <w:tcPr>
          <w:tcW w:type="dxa" w:w="3550"/>
          <w:tcMar>
            <w:top w:type="dxa" w:w="40"/>
            <w:left w:type="dxa" w:w="0"/>
            <w:bottom w:type="dxa" w:w="40"/>
            <w:right w:type="dxa" w:w="0"/>
          </w:tcMar>
          <w:vAlign w:val="center"/>
        </w:tcPr>
        <w:p>
          <w:pPr>
            <w:jc w:val="right"/>
          </w:pPr>
          <w:r>
            <w:rPr>
              <w:color w:val="6B778C"/>
              <w:sz w:val="12"/>
              <w:szCs w:val="12"/>
            </w:rPr>
            <w:t xml:space="preserve">Edition 1.0 · Approved</w:t>
          </w:r>
        </w:p>
      </w:tc>
    </w:tr>
  </w:tbl>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image" Target="media/681fd126cdf550e781c9e30e2a67f8bbf2b2a95d.png"/><Relationship Id="rId10"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Relationship Id="rId0" Type="http://schemas.openxmlformats.org/officeDocument/2006/relationships/image" Target="media/681fd126cdf550e781c9e30e2a67f8bbf2b2a95d.png"/></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2026-09-14T14:51:36.504Z</dcterms:created>
  <dcterms:modified xsi:type="dcterms:W3CDTF">2026-09-14T14:51:36.504Z</dcterms:modified>
</cp:coreProperties>
</file>

<file path=docProps/custom.xml><?xml version="1.0" encoding="utf-8"?>
<Properties xmlns="http://schemas.openxmlformats.org/officeDocument/2006/custom-properties" xmlns:vt="http://schemas.openxmlformats.org/officeDocument/2006/docPropsVTypes"/>
</file>